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436FBE" w14:textId="36675811" w:rsidR="00E90E49" w:rsidRPr="009F2042" w:rsidRDefault="00E90E49" w:rsidP="00ED6838">
      <w:pPr>
        <w:pStyle w:val="3GPPHeader"/>
        <w:spacing w:after="60"/>
        <w:rPr>
          <w:sz w:val="32"/>
          <w:szCs w:val="32"/>
          <w:highlight w:val="yellow"/>
        </w:rPr>
      </w:pPr>
      <w:r w:rsidRPr="009F2042">
        <w:t>3GPP TSG-RAN WG</w:t>
      </w:r>
      <w:r w:rsidR="008F1C4E" w:rsidRPr="009F2042">
        <w:t>1</w:t>
      </w:r>
      <w:r w:rsidRPr="009F2042">
        <w:t xml:space="preserve"> </w:t>
      </w:r>
      <w:r w:rsidR="008F1C4E" w:rsidRPr="009F2042">
        <w:t xml:space="preserve">Meeting </w:t>
      </w:r>
      <w:r w:rsidRPr="009F2042">
        <w:t>#</w:t>
      </w:r>
      <w:r w:rsidR="00D66AD1" w:rsidRPr="009F2042">
        <w:t>10</w:t>
      </w:r>
      <w:r w:rsidR="00C931E4" w:rsidRPr="009F2042">
        <w:t>6</w:t>
      </w:r>
      <w:r w:rsidR="00A35CB9" w:rsidRPr="009F2042">
        <w:t>-e</w:t>
      </w:r>
      <w:r w:rsidRPr="009F2042">
        <w:tab/>
      </w:r>
      <w:r w:rsidR="00091557" w:rsidRPr="009F2042">
        <w:rPr>
          <w:sz w:val="32"/>
          <w:szCs w:val="32"/>
        </w:rPr>
        <w:t>R</w:t>
      </w:r>
      <w:r w:rsidR="008F1C4E" w:rsidRPr="009F2042">
        <w:rPr>
          <w:sz w:val="32"/>
          <w:szCs w:val="32"/>
        </w:rPr>
        <w:t>1</w:t>
      </w:r>
      <w:r w:rsidR="00091557" w:rsidRPr="009F2042">
        <w:rPr>
          <w:sz w:val="32"/>
          <w:szCs w:val="32"/>
        </w:rPr>
        <w:t>-</w:t>
      </w:r>
      <w:r w:rsidR="00D66AD1" w:rsidRPr="009F2042">
        <w:rPr>
          <w:sz w:val="32"/>
          <w:szCs w:val="32"/>
        </w:rPr>
        <w:t>21</w:t>
      </w:r>
      <w:r w:rsidR="00C67512" w:rsidRPr="009F2042">
        <w:rPr>
          <w:sz w:val="32"/>
          <w:szCs w:val="32"/>
        </w:rPr>
        <w:t>08108</w:t>
      </w:r>
    </w:p>
    <w:p w14:paraId="13227BD5" w14:textId="1A79A92F" w:rsidR="00E90E49" w:rsidRPr="009F2042" w:rsidRDefault="00C931E4" w:rsidP="00ED6838">
      <w:pPr>
        <w:pStyle w:val="3GPPHeader"/>
      </w:pPr>
      <w:r w:rsidRPr="009F2042">
        <w:t>Online</w:t>
      </w:r>
      <w:r w:rsidR="0027144F" w:rsidRPr="009F2042">
        <w:t xml:space="preserve">, </w:t>
      </w:r>
      <w:r w:rsidRPr="009F2042">
        <w:t>August</w:t>
      </w:r>
      <w:r w:rsidR="0027144F" w:rsidRPr="009F2042">
        <w:t xml:space="preserve"> </w:t>
      </w:r>
      <w:r w:rsidRPr="009F2042">
        <w:t>16</w:t>
      </w:r>
      <w:r w:rsidR="001D53E7" w:rsidRPr="009F2042">
        <w:rPr>
          <w:vertAlign w:val="superscript"/>
        </w:rPr>
        <w:t>th</w:t>
      </w:r>
      <w:r w:rsidR="001D53E7" w:rsidRPr="009F2042">
        <w:t xml:space="preserve"> – </w:t>
      </w:r>
      <w:r w:rsidRPr="009F2042">
        <w:t>27</w:t>
      </w:r>
      <w:r w:rsidR="001D53E7" w:rsidRPr="009F2042">
        <w:rPr>
          <w:vertAlign w:val="superscript"/>
        </w:rPr>
        <w:t>th</w:t>
      </w:r>
      <w:r w:rsidR="00C37CB2" w:rsidRPr="009F2042">
        <w:t xml:space="preserve"> </w:t>
      </w:r>
      <w:r w:rsidR="0027144F" w:rsidRPr="009F2042">
        <w:t>20</w:t>
      </w:r>
      <w:r w:rsidRPr="009F2042">
        <w:t>21</w:t>
      </w:r>
    </w:p>
    <w:p w14:paraId="2CF55502" w14:textId="77777777" w:rsidR="00E90E49" w:rsidRPr="009F2042" w:rsidRDefault="00E90E49" w:rsidP="00ED6838">
      <w:pPr>
        <w:pStyle w:val="3GPPHeader"/>
      </w:pPr>
    </w:p>
    <w:p w14:paraId="5ACB08E0" w14:textId="12587DE8" w:rsidR="00E90E49" w:rsidRPr="009F2042" w:rsidRDefault="00E90E49" w:rsidP="00ED6838">
      <w:pPr>
        <w:pStyle w:val="3GPPHeader"/>
        <w:rPr>
          <w:sz w:val="22"/>
        </w:rPr>
      </w:pPr>
      <w:r w:rsidRPr="009F2042">
        <w:rPr>
          <w:sz w:val="22"/>
        </w:rPr>
        <w:t>Agenda Item:</w:t>
      </w:r>
      <w:r w:rsidRPr="009F2042">
        <w:rPr>
          <w:sz w:val="22"/>
        </w:rPr>
        <w:tab/>
      </w:r>
      <w:r w:rsidR="00C931E4" w:rsidRPr="009F2042">
        <w:rPr>
          <w:sz w:val="22"/>
        </w:rPr>
        <w:t>8.10.2</w:t>
      </w:r>
    </w:p>
    <w:p w14:paraId="3A206516" w14:textId="77777777" w:rsidR="00E90E49" w:rsidRPr="009F2042" w:rsidRDefault="003D3C45" w:rsidP="00ED6838">
      <w:pPr>
        <w:pStyle w:val="3GPPHeader"/>
        <w:rPr>
          <w:sz w:val="22"/>
        </w:rPr>
      </w:pPr>
      <w:r w:rsidRPr="009F2042">
        <w:rPr>
          <w:sz w:val="22"/>
        </w:rPr>
        <w:t>Source:</w:t>
      </w:r>
      <w:r w:rsidR="00E90E49" w:rsidRPr="009F2042">
        <w:rPr>
          <w:sz w:val="22"/>
        </w:rPr>
        <w:tab/>
      </w:r>
      <w:r w:rsidR="00F64C2B" w:rsidRPr="009F2042">
        <w:rPr>
          <w:sz w:val="22"/>
        </w:rPr>
        <w:t>Ericsson</w:t>
      </w:r>
    </w:p>
    <w:p w14:paraId="07D2C7C6" w14:textId="65771268" w:rsidR="00E90E49" w:rsidRPr="009F2042" w:rsidRDefault="003D3C45" w:rsidP="00ED6838">
      <w:pPr>
        <w:pStyle w:val="3GPPHeader"/>
        <w:rPr>
          <w:sz w:val="22"/>
        </w:rPr>
      </w:pPr>
      <w:r w:rsidRPr="009F2042">
        <w:rPr>
          <w:sz w:val="22"/>
        </w:rPr>
        <w:t>Title:</w:t>
      </w:r>
      <w:r w:rsidR="00E90E49" w:rsidRPr="009F2042">
        <w:rPr>
          <w:sz w:val="22"/>
        </w:rPr>
        <w:tab/>
      </w:r>
      <w:r w:rsidR="00C931E4" w:rsidRPr="009F2042">
        <w:rPr>
          <w:sz w:val="22"/>
        </w:rPr>
        <w:t xml:space="preserve">Timing, interference </w:t>
      </w:r>
      <w:r w:rsidR="003F4E93" w:rsidRPr="009F2042">
        <w:rPr>
          <w:sz w:val="22"/>
        </w:rPr>
        <w:t xml:space="preserve">management </w:t>
      </w:r>
      <w:r w:rsidR="00C931E4" w:rsidRPr="009F2042">
        <w:rPr>
          <w:sz w:val="22"/>
        </w:rPr>
        <w:t>and power control in enhanced IAB</w:t>
      </w:r>
    </w:p>
    <w:p w14:paraId="3C46B50C" w14:textId="77777777" w:rsidR="00E90E49" w:rsidRPr="009F2042" w:rsidRDefault="00E90E49" w:rsidP="00ED6838">
      <w:pPr>
        <w:pStyle w:val="3GPPHeader"/>
        <w:rPr>
          <w:sz w:val="22"/>
        </w:rPr>
      </w:pPr>
      <w:r w:rsidRPr="009F2042">
        <w:rPr>
          <w:sz w:val="22"/>
        </w:rPr>
        <w:t>Document for:</w:t>
      </w:r>
      <w:r w:rsidRPr="009F2042">
        <w:rPr>
          <w:sz w:val="22"/>
        </w:rPr>
        <w:tab/>
        <w:t>Discussion, Decision</w:t>
      </w:r>
    </w:p>
    <w:p w14:paraId="7F9C5716" w14:textId="77777777" w:rsidR="00E90E49" w:rsidRPr="009F2042" w:rsidRDefault="00E90E49" w:rsidP="00ED6838">
      <w:pPr>
        <w:jc w:val="both"/>
      </w:pPr>
    </w:p>
    <w:p w14:paraId="2BC5DD01" w14:textId="4FCB48E5" w:rsidR="00E90E49" w:rsidRPr="009F2042" w:rsidRDefault="00E90E49" w:rsidP="00ED6838">
      <w:pPr>
        <w:pStyle w:val="Heading1"/>
        <w:jc w:val="both"/>
        <w:rPr>
          <w:lang w:val="en-US"/>
        </w:rPr>
      </w:pPr>
      <w:r w:rsidRPr="009F2042">
        <w:rPr>
          <w:lang w:val="en-US"/>
        </w:rPr>
        <w:t>Introduction</w:t>
      </w:r>
    </w:p>
    <w:p w14:paraId="44B8501C" w14:textId="2EF0337E" w:rsidR="007A0562" w:rsidRPr="009F2042" w:rsidRDefault="007A0562" w:rsidP="00ED6838">
      <w:pPr>
        <w:jc w:val="both"/>
      </w:pPr>
      <w:r w:rsidRPr="009F2042">
        <w:rPr>
          <w:lang w:eastAsia="ja-JP"/>
        </w:rPr>
        <w:t>The WID for enhance IAB specifies the following</w:t>
      </w:r>
      <w:r w:rsidR="00041A6A" w:rsidRPr="009F2042">
        <w:rPr>
          <w:lang w:eastAsia="ja-JP"/>
        </w:rPr>
        <w:t xml:space="preserve"> </w:t>
      </w:r>
      <w:r w:rsidR="00F752F0" w:rsidRPr="009F2042">
        <w:rPr>
          <w:highlight w:val="yellow"/>
          <w:lang w:eastAsia="ja-JP"/>
        </w:rPr>
        <w:fldChar w:fldCharType="begin"/>
      </w:r>
      <w:r w:rsidR="00F752F0" w:rsidRPr="009F2042">
        <w:rPr>
          <w:lang w:eastAsia="ja-JP"/>
        </w:rPr>
        <w:instrText xml:space="preserve"> REF _Ref77157032 \r \h </w:instrText>
      </w:r>
      <w:r w:rsidR="00986820" w:rsidRPr="009F2042">
        <w:rPr>
          <w:highlight w:val="yellow"/>
          <w:lang w:eastAsia="ja-JP"/>
        </w:rPr>
        <w:instrText xml:space="preserve"> \* MERGEFORMAT </w:instrText>
      </w:r>
      <w:r w:rsidR="00F752F0" w:rsidRPr="009F2042">
        <w:rPr>
          <w:highlight w:val="yellow"/>
          <w:lang w:eastAsia="ja-JP"/>
        </w:rPr>
      </w:r>
      <w:r w:rsidR="00F752F0" w:rsidRPr="009F2042">
        <w:rPr>
          <w:highlight w:val="yellow"/>
          <w:lang w:eastAsia="ja-JP"/>
        </w:rPr>
        <w:fldChar w:fldCharType="separate"/>
      </w:r>
      <w:r w:rsidR="00BC7F0D">
        <w:rPr>
          <w:lang w:eastAsia="ja-JP"/>
        </w:rPr>
        <w:t>[1]</w:t>
      </w:r>
      <w:r w:rsidR="00F752F0" w:rsidRPr="009F2042">
        <w:rPr>
          <w:highlight w:val="yellow"/>
          <w:lang w:eastAsia="ja-JP"/>
        </w:rPr>
        <w:fldChar w:fldCharType="end"/>
      </w:r>
      <w:r w:rsidRPr="009F2042">
        <w:rPr>
          <w:lang w:eastAsia="ja-JP"/>
        </w:rPr>
        <w:t>:</w:t>
      </w:r>
    </w:p>
    <w:tbl>
      <w:tblPr>
        <w:tblStyle w:val="TableGrid"/>
        <w:tblW w:w="0" w:type="auto"/>
        <w:tblLook w:val="04A0" w:firstRow="1" w:lastRow="0" w:firstColumn="1" w:lastColumn="0" w:noHBand="0" w:noVBand="1"/>
      </w:tblPr>
      <w:tblGrid>
        <w:gridCol w:w="9629"/>
      </w:tblGrid>
      <w:tr w:rsidR="005E53AF" w:rsidRPr="009F2042" w14:paraId="0FFD76E5" w14:textId="77777777" w:rsidTr="005E53AF">
        <w:tc>
          <w:tcPr>
            <w:tcW w:w="9629" w:type="dxa"/>
          </w:tcPr>
          <w:p w14:paraId="1ED5ED4D" w14:textId="3F605B9E" w:rsidR="005E53AF" w:rsidRPr="009F2042" w:rsidRDefault="005E53AF" w:rsidP="006F4BC8">
            <w:pPr>
              <w:pStyle w:val="BodyText"/>
              <w:spacing w:before="240"/>
            </w:pPr>
            <w:r w:rsidRPr="009F2042">
              <w:rPr>
                <w:sz w:val="20"/>
                <w:szCs w:val="20"/>
              </w:rPr>
              <w:t>Specification of IAB-node timing mode(s), extensions for DL/UL power control, and CLI and interference measurements of BH links, as needed, to support simultaneous operation (transmission and/or reception) by IAB-node’s child and parent links.</w:t>
            </w:r>
          </w:p>
        </w:tc>
      </w:tr>
    </w:tbl>
    <w:p w14:paraId="60BC4C7F" w14:textId="640C07FD" w:rsidR="00477768" w:rsidRPr="009F2042" w:rsidRDefault="00855A12" w:rsidP="00ED6838">
      <w:pPr>
        <w:pStyle w:val="BodyText"/>
        <w:spacing w:before="240"/>
      </w:pPr>
      <w:r w:rsidRPr="009F2042">
        <w:t>Below, we present our views on this objective. In addition, please see our accompanying contribution regarding resource multiplexing and dual connectivity</w:t>
      </w:r>
      <w:r w:rsidR="001D2993" w:rsidRPr="009F2042">
        <w:t xml:space="preserve"> </w:t>
      </w:r>
      <w:r w:rsidR="001D2993" w:rsidRPr="009F2042">
        <w:fldChar w:fldCharType="begin"/>
      </w:r>
      <w:r w:rsidR="001D2993" w:rsidRPr="009F2042">
        <w:instrText xml:space="preserve"> REF _Ref77157282 \r \h </w:instrText>
      </w:r>
      <w:r w:rsidR="00986820" w:rsidRPr="009F2042">
        <w:instrText xml:space="preserve"> \* MERGEFORMAT </w:instrText>
      </w:r>
      <w:r w:rsidR="001D2993" w:rsidRPr="009F2042">
        <w:fldChar w:fldCharType="separate"/>
      </w:r>
      <w:r w:rsidR="00BC7F0D">
        <w:t>[2]</w:t>
      </w:r>
      <w:r w:rsidR="001D2993" w:rsidRPr="009F2042">
        <w:fldChar w:fldCharType="end"/>
      </w:r>
      <w:r w:rsidRPr="009F2042">
        <w:t>.</w:t>
      </w:r>
    </w:p>
    <w:p w14:paraId="32CF9BE0" w14:textId="289C9EC6" w:rsidR="004000E8" w:rsidRPr="009F2042" w:rsidRDefault="00D50AC7" w:rsidP="00ED6838">
      <w:pPr>
        <w:pStyle w:val="Heading1"/>
        <w:jc w:val="both"/>
        <w:rPr>
          <w:lang w:val="en-US"/>
        </w:rPr>
      </w:pPr>
      <w:bookmarkStart w:id="0" w:name="_Ref178064866"/>
      <w:r w:rsidRPr="009F2042">
        <w:rPr>
          <w:lang w:val="en-US"/>
        </w:rPr>
        <w:t>Timing</w:t>
      </w:r>
      <w:bookmarkEnd w:id="0"/>
    </w:p>
    <w:p w14:paraId="1B83C8A1" w14:textId="2E931D21" w:rsidR="00FC37AD" w:rsidRPr="009F2042" w:rsidRDefault="00FC37AD" w:rsidP="00ED6838">
      <w:pPr>
        <w:jc w:val="both"/>
        <w:rPr>
          <w:lang w:eastAsia="ja-JP"/>
        </w:rPr>
      </w:pPr>
      <w:r w:rsidRPr="009F2042">
        <w:rPr>
          <w:lang w:eastAsia="ja-JP"/>
        </w:rPr>
        <w:t xml:space="preserve">The following timing related agreements were made in RAN1 #105-e </w:t>
      </w:r>
      <w:r w:rsidRPr="009F2042">
        <w:rPr>
          <w:lang w:eastAsia="ja-JP"/>
        </w:rPr>
        <w:fldChar w:fldCharType="begin"/>
      </w:r>
      <w:r w:rsidRPr="009F2042">
        <w:rPr>
          <w:lang w:eastAsia="ja-JP"/>
        </w:rPr>
        <w:instrText xml:space="preserve"> REF _Ref77157742 \r \h </w:instrText>
      </w:r>
      <w:r w:rsidR="00986820" w:rsidRPr="009F2042">
        <w:rPr>
          <w:lang w:eastAsia="ja-JP"/>
        </w:rPr>
        <w:instrText xml:space="preserve"> \* MERGEFORMAT </w:instrText>
      </w:r>
      <w:r w:rsidRPr="009F2042">
        <w:rPr>
          <w:lang w:eastAsia="ja-JP"/>
        </w:rPr>
      </w:r>
      <w:r w:rsidRPr="009F2042">
        <w:rPr>
          <w:lang w:eastAsia="ja-JP"/>
        </w:rPr>
        <w:fldChar w:fldCharType="separate"/>
      </w:r>
      <w:r w:rsidR="00BC7F0D">
        <w:rPr>
          <w:lang w:eastAsia="ja-JP"/>
        </w:rPr>
        <w:t>[3]</w:t>
      </w:r>
      <w:r w:rsidRPr="009F2042">
        <w:rPr>
          <w:lang w:eastAsia="ja-JP"/>
        </w:rPr>
        <w:fldChar w:fldCharType="end"/>
      </w:r>
      <w:r w:rsidRPr="009F2042">
        <w:rPr>
          <w:lang w:eastAsia="ja-JP"/>
        </w:rPr>
        <w:t>:</w:t>
      </w:r>
    </w:p>
    <w:tbl>
      <w:tblPr>
        <w:tblStyle w:val="TableGrid"/>
        <w:tblW w:w="0" w:type="auto"/>
        <w:tblLook w:val="04A0" w:firstRow="1" w:lastRow="0" w:firstColumn="1" w:lastColumn="0" w:noHBand="0" w:noVBand="1"/>
      </w:tblPr>
      <w:tblGrid>
        <w:gridCol w:w="9629"/>
      </w:tblGrid>
      <w:tr w:rsidR="002404BB" w:rsidRPr="009F2042" w14:paraId="269E96CF" w14:textId="77777777" w:rsidTr="00427C9F">
        <w:tc>
          <w:tcPr>
            <w:tcW w:w="9629" w:type="dxa"/>
          </w:tcPr>
          <w:p w14:paraId="559460BF" w14:textId="77777777" w:rsidR="002404BB" w:rsidRPr="009F2042" w:rsidRDefault="002404BB" w:rsidP="00ED6838">
            <w:pPr>
              <w:pStyle w:val="BodyText"/>
              <w:rPr>
                <w:sz w:val="20"/>
                <w:szCs w:val="20"/>
              </w:rPr>
            </w:pPr>
            <w:r w:rsidRPr="009F2042">
              <w:rPr>
                <w:sz w:val="20"/>
                <w:szCs w:val="20"/>
                <w:highlight w:val="green"/>
              </w:rPr>
              <w:t>Agreement</w:t>
            </w:r>
          </w:p>
          <w:p w14:paraId="385069EF" w14:textId="77777777" w:rsidR="002404BB" w:rsidRPr="009F2042" w:rsidRDefault="002404BB" w:rsidP="00ED6838">
            <w:pPr>
              <w:pStyle w:val="BodyText"/>
              <w:rPr>
                <w:sz w:val="20"/>
                <w:szCs w:val="20"/>
              </w:rPr>
            </w:pPr>
            <w:r w:rsidRPr="009F2042">
              <w:rPr>
                <w:sz w:val="20"/>
                <w:szCs w:val="20"/>
              </w:rPr>
              <w:t xml:space="preserve">RAN1 to </w:t>
            </w:r>
            <w:proofErr w:type="spellStart"/>
            <w:r w:rsidRPr="009F2042">
              <w:rPr>
                <w:sz w:val="20"/>
                <w:szCs w:val="20"/>
              </w:rPr>
              <w:t>downselect</w:t>
            </w:r>
            <w:proofErr w:type="spellEnd"/>
            <w:r w:rsidRPr="009F2042">
              <w:rPr>
                <w:sz w:val="20"/>
                <w:szCs w:val="20"/>
              </w:rPr>
              <w:t xml:space="preserve"> how the IAB-MT Tx timing is set for Case 6 timing at a given IAB-node:</w:t>
            </w:r>
          </w:p>
          <w:p w14:paraId="7FFCDAE6" w14:textId="77777777" w:rsidR="002404BB" w:rsidRPr="009F2042" w:rsidRDefault="002404BB" w:rsidP="00ED6838">
            <w:pPr>
              <w:pStyle w:val="BodyText"/>
              <w:numPr>
                <w:ilvl w:val="0"/>
                <w:numId w:val="29"/>
              </w:numPr>
              <w:rPr>
                <w:sz w:val="20"/>
                <w:szCs w:val="20"/>
              </w:rPr>
            </w:pPr>
            <w:r w:rsidRPr="009F2042">
              <w:rPr>
                <w:sz w:val="20"/>
                <w:szCs w:val="20"/>
              </w:rPr>
              <w:t>Alt1: the IAB-MT Tx timing is obtained by the node via the legacy TA loop plus an offset from the parent node.</w:t>
            </w:r>
          </w:p>
          <w:p w14:paraId="2266AB08" w14:textId="77777777" w:rsidR="002404BB" w:rsidRPr="009F2042" w:rsidRDefault="002404BB" w:rsidP="00ED6838">
            <w:pPr>
              <w:pStyle w:val="BodyText"/>
              <w:numPr>
                <w:ilvl w:val="1"/>
                <w:numId w:val="29"/>
              </w:numPr>
              <w:rPr>
                <w:sz w:val="20"/>
                <w:szCs w:val="20"/>
              </w:rPr>
            </w:pPr>
            <w:r w:rsidRPr="009F2042">
              <w:rPr>
                <w:sz w:val="20"/>
                <w:szCs w:val="20"/>
              </w:rPr>
              <w:t>FFS details of the required offset.</w:t>
            </w:r>
          </w:p>
          <w:p w14:paraId="57BC26F3" w14:textId="77777777" w:rsidR="002404BB" w:rsidRPr="009F2042" w:rsidRDefault="002404BB" w:rsidP="00ED6838">
            <w:pPr>
              <w:pStyle w:val="BodyText"/>
              <w:numPr>
                <w:ilvl w:val="0"/>
                <w:numId w:val="29"/>
              </w:numPr>
              <w:rPr>
                <w:sz w:val="20"/>
                <w:szCs w:val="20"/>
              </w:rPr>
            </w:pPr>
            <w:r w:rsidRPr="009F2042">
              <w:rPr>
                <w:sz w:val="20"/>
                <w:szCs w:val="20"/>
              </w:rPr>
              <w:t>Alt2: the IAB-MT Tx timing is set by the node to the timing obtained for the node’s DL Tx.</w:t>
            </w:r>
          </w:p>
          <w:p w14:paraId="682F1855" w14:textId="77777777" w:rsidR="002404BB" w:rsidRPr="009F2042" w:rsidRDefault="002404BB" w:rsidP="00ED6838">
            <w:pPr>
              <w:pStyle w:val="BodyText"/>
              <w:numPr>
                <w:ilvl w:val="0"/>
                <w:numId w:val="29"/>
              </w:numPr>
              <w:rPr>
                <w:sz w:val="20"/>
                <w:szCs w:val="20"/>
              </w:rPr>
            </w:pPr>
            <w:r w:rsidRPr="009F2042">
              <w:rPr>
                <w:sz w:val="20"/>
                <w:szCs w:val="20"/>
              </w:rPr>
              <w:t>Alt3: the IAB-MT Tx timing is obtained by the node jointly with the IAB-DU Tx timing via a common offset from the parent node.</w:t>
            </w:r>
          </w:p>
          <w:p w14:paraId="71C56FD5" w14:textId="77777777" w:rsidR="002404BB" w:rsidRPr="009F2042" w:rsidRDefault="002404BB" w:rsidP="00ED6838">
            <w:pPr>
              <w:pStyle w:val="BodyText"/>
              <w:rPr>
                <w:sz w:val="20"/>
                <w:szCs w:val="20"/>
              </w:rPr>
            </w:pPr>
            <w:proofErr w:type="spellStart"/>
            <w:r w:rsidRPr="009F2042">
              <w:rPr>
                <w:sz w:val="20"/>
                <w:szCs w:val="20"/>
              </w:rPr>
              <w:t>Downselection</w:t>
            </w:r>
            <w:proofErr w:type="spellEnd"/>
            <w:r w:rsidRPr="009F2042">
              <w:rPr>
                <w:sz w:val="20"/>
                <w:szCs w:val="20"/>
              </w:rPr>
              <w:t xml:space="preserve"> to consider at least the following aspects:</w:t>
            </w:r>
          </w:p>
          <w:p w14:paraId="3E60415B" w14:textId="77777777" w:rsidR="002404BB" w:rsidRPr="009F2042" w:rsidRDefault="002404BB" w:rsidP="00ED6838">
            <w:pPr>
              <w:pStyle w:val="BodyText"/>
              <w:numPr>
                <w:ilvl w:val="0"/>
                <w:numId w:val="30"/>
              </w:numPr>
              <w:rPr>
                <w:sz w:val="20"/>
                <w:szCs w:val="20"/>
              </w:rPr>
            </w:pPr>
            <w:r w:rsidRPr="009F2042">
              <w:rPr>
                <w:sz w:val="20"/>
                <w:szCs w:val="20"/>
              </w:rPr>
              <w:t>Dependency of DL synchronization schemes at the IAB-DU</w:t>
            </w:r>
          </w:p>
          <w:p w14:paraId="0DB80705" w14:textId="77777777" w:rsidR="002404BB" w:rsidRPr="009F2042" w:rsidRDefault="002404BB" w:rsidP="00ED6838">
            <w:pPr>
              <w:pStyle w:val="BodyText"/>
              <w:numPr>
                <w:ilvl w:val="0"/>
                <w:numId w:val="30"/>
              </w:numPr>
              <w:rPr>
                <w:sz w:val="20"/>
                <w:szCs w:val="20"/>
              </w:rPr>
            </w:pPr>
            <w:r w:rsidRPr="009F2042">
              <w:rPr>
                <w:sz w:val="20"/>
                <w:szCs w:val="20"/>
              </w:rPr>
              <w:t>Potential additional signaling overhead.</w:t>
            </w:r>
          </w:p>
          <w:p w14:paraId="67F1FED1" w14:textId="77777777" w:rsidR="002404BB" w:rsidRPr="009F2042" w:rsidRDefault="002404BB" w:rsidP="00ED6838">
            <w:pPr>
              <w:pStyle w:val="BodyText"/>
              <w:numPr>
                <w:ilvl w:val="0"/>
                <w:numId w:val="30"/>
              </w:numPr>
              <w:rPr>
                <w:sz w:val="20"/>
                <w:szCs w:val="20"/>
              </w:rPr>
            </w:pPr>
            <w:r w:rsidRPr="009F2042">
              <w:rPr>
                <w:sz w:val="20"/>
                <w:szCs w:val="20"/>
              </w:rPr>
              <w:t>Achievable DU Tx / MT Tx alignment error tolerance.</w:t>
            </w:r>
          </w:p>
          <w:p w14:paraId="1F78FC7D" w14:textId="77777777" w:rsidR="002404BB" w:rsidRPr="009F2042" w:rsidRDefault="002404BB" w:rsidP="00ED6838">
            <w:pPr>
              <w:pStyle w:val="BodyText"/>
              <w:numPr>
                <w:ilvl w:val="0"/>
                <w:numId w:val="30"/>
              </w:numPr>
              <w:rPr>
                <w:sz w:val="20"/>
                <w:szCs w:val="20"/>
                <w:lang w:eastAsia="en-US"/>
              </w:rPr>
            </w:pPr>
            <w:r w:rsidRPr="009F2042">
              <w:rPr>
                <w:sz w:val="20"/>
                <w:szCs w:val="20"/>
                <w:lang w:eastAsia="en-US"/>
              </w:rPr>
              <w:t>Suitability for switching between timing modes.</w:t>
            </w:r>
          </w:p>
          <w:p w14:paraId="7E9FB50B" w14:textId="77777777" w:rsidR="002404BB" w:rsidRPr="009F2042" w:rsidRDefault="002404BB" w:rsidP="00ED6838">
            <w:pPr>
              <w:pStyle w:val="BodyText"/>
              <w:rPr>
                <w:sz w:val="20"/>
                <w:szCs w:val="20"/>
              </w:rPr>
            </w:pPr>
          </w:p>
          <w:p w14:paraId="29D8D4AA" w14:textId="77777777" w:rsidR="002404BB" w:rsidRPr="009F2042" w:rsidRDefault="002404BB" w:rsidP="00ED6838">
            <w:pPr>
              <w:pStyle w:val="BodyText"/>
              <w:rPr>
                <w:sz w:val="20"/>
                <w:szCs w:val="20"/>
              </w:rPr>
            </w:pPr>
            <w:r w:rsidRPr="009F2042">
              <w:rPr>
                <w:sz w:val="20"/>
                <w:szCs w:val="20"/>
                <w:highlight w:val="green"/>
              </w:rPr>
              <w:t>Agreement</w:t>
            </w:r>
          </w:p>
          <w:p w14:paraId="7E633906" w14:textId="77777777" w:rsidR="002404BB" w:rsidRPr="009F2042" w:rsidRDefault="002404BB" w:rsidP="00ED6838">
            <w:pPr>
              <w:pStyle w:val="BodyText"/>
              <w:rPr>
                <w:sz w:val="20"/>
                <w:szCs w:val="20"/>
              </w:rPr>
            </w:pPr>
            <w:r w:rsidRPr="009F2042">
              <w:rPr>
                <w:sz w:val="20"/>
                <w:szCs w:val="20"/>
              </w:rPr>
              <w:lastRenderedPageBreak/>
              <w:t xml:space="preserve">RAN1 to </w:t>
            </w:r>
            <w:proofErr w:type="spellStart"/>
            <w:r w:rsidRPr="009F2042">
              <w:rPr>
                <w:sz w:val="20"/>
                <w:szCs w:val="20"/>
              </w:rPr>
              <w:t>downselect</w:t>
            </w:r>
            <w:proofErr w:type="spellEnd"/>
            <w:r w:rsidRPr="009F2042">
              <w:rPr>
                <w:sz w:val="20"/>
                <w:szCs w:val="20"/>
              </w:rPr>
              <w:t xml:space="preserve"> how the IAB-MT Tx timing is set at an IAB-node for Case 7 timing at the parent node:</w:t>
            </w:r>
          </w:p>
          <w:p w14:paraId="3F8F8F05" w14:textId="77777777" w:rsidR="002404BB" w:rsidRPr="009F2042" w:rsidRDefault="002404BB" w:rsidP="00ED6838">
            <w:pPr>
              <w:pStyle w:val="BodyText"/>
              <w:numPr>
                <w:ilvl w:val="0"/>
                <w:numId w:val="27"/>
              </w:numPr>
              <w:rPr>
                <w:sz w:val="20"/>
                <w:szCs w:val="20"/>
              </w:rPr>
            </w:pPr>
            <w:r w:rsidRPr="009F2042">
              <w:rPr>
                <w:sz w:val="20"/>
                <w:szCs w:val="20"/>
              </w:rPr>
              <w:t>Alt1: the IAB-MT Tx timing of the node is obtained via the legacy TA loop plus an offset from the parent node.</w:t>
            </w:r>
          </w:p>
          <w:p w14:paraId="016E85C4" w14:textId="77777777" w:rsidR="002404BB" w:rsidRPr="009F2042" w:rsidRDefault="002404BB" w:rsidP="00ED6838">
            <w:pPr>
              <w:pStyle w:val="BodyText"/>
              <w:numPr>
                <w:ilvl w:val="1"/>
                <w:numId w:val="27"/>
              </w:numPr>
              <w:rPr>
                <w:sz w:val="20"/>
                <w:szCs w:val="20"/>
              </w:rPr>
            </w:pPr>
            <w:r w:rsidRPr="009F2042">
              <w:rPr>
                <w:sz w:val="20"/>
                <w:szCs w:val="20"/>
              </w:rPr>
              <w:t>FFS details of the required offset</w:t>
            </w:r>
          </w:p>
          <w:p w14:paraId="080E669B" w14:textId="77777777" w:rsidR="002404BB" w:rsidRPr="009F2042" w:rsidRDefault="002404BB" w:rsidP="00ED6838">
            <w:pPr>
              <w:pStyle w:val="BodyText"/>
              <w:numPr>
                <w:ilvl w:val="0"/>
                <w:numId w:val="27"/>
              </w:numPr>
              <w:rPr>
                <w:sz w:val="20"/>
                <w:szCs w:val="20"/>
              </w:rPr>
            </w:pPr>
            <w:r w:rsidRPr="009F2042">
              <w:rPr>
                <w:sz w:val="20"/>
                <w:szCs w:val="20"/>
              </w:rPr>
              <w:t>Alt2: the IAB-MT Tx timing of the node is obtained via the legacy TA loop from the parent node.</w:t>
            </w:r>
          </w:p>
          <w:p w14:paraId="2B82F6D8" w14:textId="77777777" w:rsidR="002404BB" w:rsidRPr="009F2042" w:rsidRDefault="002404BB" w:rsidP="00ED6838">
            <w:pPr>
              <w:pStyle w:val="BodyText"/>
              <w:numPr>
                <w:ilvl w:val="0"/>
                <w:numId w:val="27"/>
              </w:numPr>
              <w:rPr>
                <w:sz w:val="20"/>
                <w:szCs w:val="20"/>
              </w:rPr>
            </w:pPr>
            <w:r w:rsidRPr="009F2042">
              <w:rPr>
                <w:sz w:val="20"/>
                <w:szCs w:val="20"/>
              </w:rPr>
              <w:t>Alt3: the IAB-MT Tx timing of the node is obtained via a Case 7 specific TA loop from the parent node.</w:t>
            </w:r>
          </w:p>
          <w:p w14:paraId="5A4473BA" w14:textId="77777777" w:rsidR="002404BB" w:rsidRPr="009F2042" w:rsidRDefault="002404BB" w:rsidP="00ED6838">
            <w:pPr>
              <w:pStyle w:val="BodyText"/>
              <w:rPr>
                <w:sz w:val="20"/>
                <w:szCs w:val="20"/>
              </w:rPr>
            </w:pPr>
            <w:proofErr w:type="spellStart"/>
            <w:r w:rsidRPr="009F2042">
              <w:rPr>
                <w:sz w:val="20"/>
                <w:szCs w:val="20"/>
              </w:rPr>
              <w:t>Downselection</w:t>
            </w:r>
            <w:proofErr w:type="spellEnd"/>
            <w:r w:rsidRPr="009F2042">
              <w:rPr>
                <w:sz w:val="20"/>
                <w:szCs w:val="20"/>
              </w:rPr>
              <w:t xml:space="preserve"> to consider at least the following aspects:</w:t>
            </w:r>
          </w:p>
          <w:p w14:paraId="0F18920F" w14:textId="77777777" w:rsidR="002404BB" w:rsidRPr="009F2042" w:rsidRDefault="002404BB" w:rsidP="00ED6838">
            <w:pPr>
              <w:pStyle w:val="BodyText"/>
              <w:numPr>
                <w:ilvl w:val="0"/>
                <w:numId w:val="28"/>
              </w:numPr>
              <w:rPr>
                <w:sz w:val="20"/>
                <w:szCs w:val="20"/>
              </w:rPr>
            </w:pPr>
            <w:r w:rsidRPr="009F2042">
              <w:rPr>
                <w:sz w:val="20"/>
                <w:szCs w:val="20"/>
              </w:rPr>
              <w:t>Potential impact to OTA synchronization availability for DU Tx at the IAB-node.</w:t>
            </w:r>
          </w:p>
          <w:p w14:paraId="3CA7FF66" w14:textId="77777777" w:rsidR="002404BB" w:rsidRPr="009F2042" w:rsidRDefault="002404BB" w:rsidP="00ED6838">
            <w:pPr>
              <w:pStyle w:val="BodyText"/>
              <w:numPr>
                <w:ilvl w:val="0"/>
                <w:numId w:val="28"/>
              </w:numPr>
              <w:rPr>
                <w:sz w:val="20"/>
                <w:szCs w:val="20"/>
              </w:rPr>
            </w:pPr>
            <w:r w:rsidRPr="009F2042">
              <w:rPr>
                <w:sz w:val="20"/>
                <w:szCs w:val="20"/>
              </w:rPr>
              <w:t>Potential additional signaling overhead.</w:t>
            </w:r>
          </w:p>
          <w:p w14:paraId="13FDBD81" w14:textId="77777777" w:rsidR="002404BB" w:rsidRPr="009F2042" w:rsidRDefault="002404BB" w:rsidP="00ED6838">
            <w:pPr>
              <w:pStyle w:val="BodyText"/>
              <w:numPr>
                <w:ilvl w:val="0"/>
                <w:numId w:val="28"/>
              </w:numPr>
              <w:rPr>
                <w:sz w:val="20"/>
                <w:szCs w:val="20"/>
              </w:rPr>
            </w:pPr>
            <w:r w:rsidRPr="009F2042">
              <w:rPr>
                <w:sz w:val="20"/>
                <w:szCs w:val="20"/>
              </w:rPr>
              <w:t>Suitability for switching between timing modes.</w:t>
            </w:r>
          </w:p>
          <w:p w14:paraId="085BC25A" w14:textId="77777777" w:rsidR="002404BB" w:rsidRPr="009F2042" w:rsidRDefault="002404BB" w:rsidP="00ED6838">
            <w:pPr>
              <w:pStyle w:val="BodyText"/>
              <w:rPr>
                <w:sz w:val="20"/>
                <w:szCs w:val="20"/>
              </w:rPr>
            </w:pPr>
          </w:p>
          <w:p w14:paraId="433BAAEC" w14:textId="77777777" w:rsidR="002404BB" w:rsidRPr="009F2042" w:rsidRDefault="002404BB" w:rsidP="00ED6838">
            <w:pPr>
              <w:pStyle w:val="BodyText"/>
              <w:rPr>
                <w:sz w:val="20"/>
                <w:szCs w:val="20"/>
              </w:rPr>
            </w:pPr>
            <w:r w:rsidRPr="009F2042">
              <w:rPr>
                <w:sz w:val="20"/>
                <w:szCs w:val="20"/>
                <w:highlight w:val="green"/>
              </w:rPr>
              <w:t>Agreement</w:t>
            </w:r>
          </w:p>
          <w:p w14:paraId="6318EA5C" w14:textId="77777777" w:rsidR="002404BB" w:rsidRPr="009F2042" w:rsidRDefault="002404BB" w:rsidP="00ED6838">
            <w:pPr>
              <w:pStyle w:val="BodyText"/>
              <w:rPr>
                <w:sz w:val="20"/>
                <w:szCs w:val="20"/>
              </w:rPr>
            </w:pPr>
            <w:r w:rsidRPr="009F2042">
              <w:rPr>
                <w:sz w:val="20"/>
                <w:szCs w:val="20"/>
              </w:rPr>
              <w:t>An IAB-node is indicated when Case 6 timing is performed at the IAB-node.</w:t>
            </w:r>
          </w:p>
          <w:p w14:paraId="4D5589A8" w14:textId="4795033A" w:rsidR="002404BB" w:rsidRPr="009F2042" w:rsidRDefault="002404BB" w:rsidP="00ED6838">
            <w:pPr>
              <w:pStyle w:val="BodyText"/>
              <w:numPr>
                <w:ilvl w:val="0"/>
                <w:numId w:val="31"/>
              </w:numPr>
              <w:rPr>
                <w:sz w:val="20"/>
                <w:szCs w:val="20"/>
              </w:rPr>
            </w:pPr>
            <w:r w:rsidRPr="009F2042">
              <w:rPr>
                <w:sz w:val="20"/>
                <w:szCs w:val="20"/>
              </w:rPr>
              <w:t>FFS details of the indication (e.g.</w:t>
            </w:r>
            <w:r w:rsidR="00267ACB" w:rsidRPr="009F2042">
              <w:rPr>
                <w:sz w:val="20"/>
                <w:szCs w:val="20"/>
              </w:rPr>
              <w:t>,</w:t>
            </w:r>
            <w:r w:rsidRPr="009F2042">
              <w:rPr>
                <w:sz w:val="20"/>
                <w:szCs w:val="20"/>
              </w:rPr>
              <w:t xml:space="preserve"> semi-static and/or dynamic, implicit and/or explicit, linkage to multiplexing capability, etc.).</w:t>
            </w:r>
          </w:p>
          <w:p w14:paraId="1FF21F11" w14:textId="39C17295" w:rsidR="002404BB" w:rsidRPr="009F2042" w:rsidRDefault="002404BB" w:rsidP="00ED6838">
            <w:pPr>
              <w:pStyle w:val="BodyText"/>
              <w:numPr>
                <w:ilvl w:val="0"/>
                <w:numId w:val="31"/>
              </w:numPr>
            </w:pPr>
            <w:r w:rsidRPr="009F2042">
              <w:rPr>
                <w:sz w:val="20"/>
                <w:szCs w:val="20"/>
                <w:lang w:eastAsia="en-US"/>
              </w:rPr>
              <w:t>FFS whether an IAB-node is also indicated when Case 7 timing is performed at the IAB-node.</w:t>
            </w:r>
          </w:p>
        </w:tc>
      </w:tr>
    </w:tbl>
    <w:p w14:paraId="3898DED6" w14:textId="0DEE4857" w:rsidR="006939B3" w:rsidRPr="009F2042" w:rsidRDefault="001344EF" w:rsidP="003C0309">
      <w:pPr>
        <w:spacing w:before="240"/>
        <w:jc w:val="both"/>
        <w:rPr>
          <w:lang w:eastAsia="ja-JP"/>
        </w:rPr>
      </w:pPr>
      <w:r w:rsidRPr="009F2042">
        <w:rPr>
          <w:lang w:eastAsia="ja-JP"/>
        </w:rPr>
        <w:lastRenderedPageBreak/>
        <w:t>Considering</w:t>
      </w:r>
      <w:r w:rsidR="00D7367D" w:rsidRPr="009F2042">
        <w:rPr>
          <w:lang w:eastAsia="ja-JP"/>
        </w:rPr>
        <w:t xml:space="preserve"> simultaneous operation of IAB-MT and co-located IAB-DU, at </w:t>
      </w:r>
      <w:r w:rsidR="00986820" w:rsidRPr="009F2042">
        <w:rPr>
          <w:lang w:eastAsia="ja-JP"/>
        </w:rPr>
        <w:t>least</w:t>
      </w:r>
      <w:r w:rsidR="00D7367D" w:rsidRPr="009F2042">
        <w:rPr>
          <w:lang w:eastAsia="ja-JP"/>
        </w:rPr>
        <w:t xml:space="preserve"> two</w:t>
      </w:r>
      <w:r w:rsidR="00FE292C" w:rsidRPr="009F2042">
        <w:rPr>
          <w:lang w:eastAsia="ja-JP"/>
        </w:rPr>
        <w:t xml:space="preserve"> </w:t>
      </w:r>
      <w:r w:rsidR="005075A5" w:rsidRPr="009F2042">
        <w:rPr>
          <w:lang w:eastAsia="ja-JP"/>
        </w:rPr>
        <w:t>classes</w:t>
      </w:r>
      <w:r w:rsidR="00D7367D" w:rsidRPr="009F2042">
        <w:rPr>
          <w:lang w:eastAsia="ja-JP"/>
        </w:rPr>
        <w:t xml:space="preserve"> of IAB-nodes can be </w:t>
      </w:r>
      <w:r w:rsidR="00986820" w:rsidRPr="009F2042">
        <w:rPr>
          <w:lang w:eastAsia="ja-JP"/>
        </w:rPr>
        <w:t>identified</w:t>
      </w:r>
      <w:r w:rsidR="00D7367D" w:rsidRPr="009F2042">
        <w:rPr>
          <w:lang w:eastAsia="ja-JP"/>
        </w:rPr>
        <w:t xml:space="preserve">. In case of simultaneous transmission, </w:t>
      </w:r>
      <w:r w:rsidR="00986820" w:rsidRPr="009F2042">
        <w:rPr>
          <w:lang w:eastAsia="ja-JP"/>
        </w:rPr>
        <w:t xml:space="preserve">they can be </w:t>
      </w:r>
      <w:r w:rsidR="00911D14" w:rsidRPr="009F2042">
        <w:rPr>
          <w:lang w:eastAsia="ja-JP"/>
        </w:rPr>
        <w:t>summarized</w:t>
      </w:r>
      <w:r w:rsidR="00986820" w:rsidRPr="009F2042">
        <w:rPr>
          <w:lang w:eastAsia="ja-JP"/>
        </w:rPr>
        <w:t xml:space="preserve"> as</w:t>
      </w:r>
    </w:p>
    <w:p w14:paraId="6EE464FA" w14:textId="23D02213" w:rsidR="005075A5" w:rsidRPr="009F2042" w:rsidRDefault="00D7367D" w:rsidP="00ED6838">
      <w:pPr>
        <w:pStyle w:val="ListParagraph"/>
        <w:numPr>
          <w:ilvl w:val="0"/>
          <w:numId w:val="35"/>
        </w:numPr>
        <w:jc w:val="both"/>
        <w:rPr>
          <w:lang w:val="en-US" w:eastAsia="ja-JP"/>
        </w:rPr>
      </w:pPr>
      <w:r w:rsidRPr="009F2042">
        <w:rPr>
          <w:lang w:val="en-US" w:eastAsia="ja-JP"/>
        </w:rPr>
        <w:t>IAB-</w:t>
      </w:r>
      <w:r w:rsidR="005075A5" w:rsidRPr="009F2042">
        <w:rPr>
          <w:lang w:val="en-US" w:eastAsia="ja-JP"/>
        </w:rPr>
        <w:t xml:space="preserve">MT </w:t>
      </w:r>
      <w:r w:rsidRPr="009F2042">
        <w:rPr>
          <w:lang w:val="en-US" w:eastAsia="ja-JP"/>
        </w:rPr>
        <w:t>transmission</w:t>
      </w:r>
      <w:r w:rsidR="005075A5" w:rsidRPr="009F2042">
        <w:rPr>
          <w:lang w:val="en-US" w:eastAsia="ja-JP"/>
        </w:rPr>
        <w:t xml:space="preserve"> timing is largely independent </w:t>
      </w:r>
      <w:r w:rsidRPr="009F2042">
        <w:rPr>
          <w:lang w:val="en-US" w:eastAsia="ja-JP"/>
        </w:rPr>
        <w:t xml:space="preserve">of the IAB-DU transmission </w:t>
      </w:r>
      <w:r w:rsidR="001B3D61" w:rsidRPr="009F2042">
        <w:rPr>
          <w:lang w:val="en-US" w:eastAsia="ja-JP"/>
        </w:rPr>
        <w:t>timing,</w:t>
      </w:r>
      <w:r w:rsidRPr="009F2042">
        <w:rPr>
          <w:lang w:val="en-US" w:eastAsia="ja-JP"/>
        </w:rPr>
        <w:t xml:space="preserve"> </w:t>
      </w:r>
      <w:r w:rsidR="005075A5" w:rsidRPr="009F2042">
        <w:rPr>
          <w:lang w:val="en-US" w:eastAsia="ja-JP"/>
        </w:rPr>
        <w:t xml:space="preserve">or </w:t>
      </w:r>
      <w:r w:rsidRPr="009F2042">
        <w:rPr>
          <w:lang w:val="en-US" w:eastAsia="ja-JP"/>
        </w:rPr>
        <w:t xml:space="preserve">it is required </w:t>
      </w:r>
      <w:r w:rsidR="005075A5" w:rsidRPr="009F2042">
        <w:rPr>
          <w:lang w:val="en-US" w:eastAsia="ja-JP"/>
        </w:rPr>
        <w:t xml:space="preserve">to be only within a certain range of the </w:t>
      </w:r>
      <w:r w:rsidRPr="009F2042">
        <w:rPr>
          <w:lang w:val="en-US" w:eastAsia="ja-JP"/>
        </w:rPr>
        <w:t xml:space="preserve">IAB-DU transmission </w:t>
      </w:r>
      <w:r w:rsidR="005075A5" w:rsidRPr="009F2042">
        <w:rPr>
          <w:lang w:val="en-US" w:eastAsia="ja-JP"/>
        </w:rPr>
        <w:t>timing</w:t>
      </w:r>
      <w:r w:rsidRPr="009F2042">
        <w:rPr>
          <w:lang w:val="en-US" w:eastAsia="ja-JP"/>
        </w:rPr>
        <w:t>.</w:t>
      </w:r>
    </w:p>
    <w:p w14:paraId="43810A7A" w14:textId="5092B589" w:rsidR="00984DBB" w:rsidRPr="00EA3523" w:rsidRDefault="001B3D61" w:rsidP="00EA3523">
      <w:pPr>
        <w:pStyle w:val="ListParagraph"/>
        <w:numPr>
          <w:ilvl w:val="0"/>
          <w:numId w:val="35"/>
        </w:numPr>
        <w:spacing w:after="240"/>
        <w:jc w:val="both"/>
        <w:rPr>
          <w:lang w:val="en-US" w:eastAsia="ja-JP"/>
        </w:rPr>
      </w:pPr>
      <w:r w:rsidRPr="009F2042">
        <w:rPr>
          <w:lang w:val="en-US" w:eastAsia="ja-JP"/>
        </w:rPr>
        <w:t>IAB-</w:t>
      </w:r>
      <w:r w:rsidR="005075A5" w:rsidRPr="009F2042">
        <w:rPr>
          <w:lang w:val="en-US" w:eastAsia="ja-JP"/>
        </w:rPr>
        <w:t xml:space="preserve">MT </w:t>
      </w:r>
      <w:r w:rsidRPr="009F2042">
        <w:rPr>
          <w:lang w:val="en-US" w:eastAsia="ja-JP"/>
        </w:rPr>
        <w:t>transmission</w:t>
      </w:r>
      <w:r w:rsidR="005075A5" w:rsidRPr="009F2042">
        <w:rPr>
          <w:lang w:val="en-US" w:eastAsia="ja-JP"/>
        </w:rPr>
        <w:t xml:space="preserve"> timing needs to be identical </w:t>
      </w:r>
      <w:r w:rsidRPr="009F2042">
        <w:rPr>
          <w:lang w:val="en-US" w:eastAsia="ja-JP"/>
        </w:rPr>
        <w:t>to</w:t>
      </w:r>
      <w:r w:rsidR="005075A5" w:rsidRPr="009F2042">
        <w:rPr>
          <w:lang w:val="en-US" w:eastAsia="ja-JP"/>
        </w:rPr>
        <w:t xml:space="preserve"> the </w:t>
      </w:r>
      <w:r w:rsidRPr="009F2042">
        <w:rPr>
          <w:lang w:val="en-US" w:eastAsia="ja-JP"/>
        </w:rPr>
        <w:t>IAB-</w:t>
      </w:r>
      <w:r w:rsidR="005075A5" w:rsidRPr="009F2042">
        <w:rPr>
          <w:lang w:val="en-US" w:eastAsia="ja-JP"/>
        </w:rPr>
        <w:t xml:space="preserve">DU </w:t>
      </w:r>
      <w:r w:rsidRPr="009F2042">
        <w:rPr>
          <w:lang w:val="en-US" w:eastAsia="ja-JP"/>
        </w:rPr>
        <w:t>transmission</w:t>
      </w:r>
      <w:r w:rsidR="005075A5" w:rsidRPr="009F2042">
        <w:rPr>
          <w:lang w:val="en-US" w:eastAsia="ja-JP"/>
        </w:rPr>
        <w:t xml:space="preserve"> timing</w:t>
      </w:r>
      <w:r w:rsidRPr="009F2042">
        <w:rPr>
          <w:lang w:val="en-US" w:eastAsia="ja-JP"/>
        </w:rPr>
        <w:t>.</w:t>
      </w:r>
    </w:p>
    <w:p w14:paraId="26A68817" w14:textId="6291C02D" w:rsidR="0022687B" w:rsidRPr="009F2042" w:rsidRDefault="0022687B" w:rsidP="00ED6838">
      <w:pPr>
        <w:jc w:val="both"/>
        <w:rPr>
          <w:lang w:eastAsia="ja-JP"/>
        </w:rPr>
      </w:pPr>
      <w:r w:rsidRPr="009F2042">
        <w:rPr>
          <w:lang w:eastAsia="ja-JP"/>
        </w:rPr>
        <w:t xml:space="preserve">In case of simultaneous </w:t>
      </w:r>
      <w:r w:rsidRPr="009F2042">
        <w:rPr>
          <w:i/>
          <w:lang w:eastAsia="ja-JP"/>
        </w:rPr>
        <w:t>receiving</w:t>
      </w:r>
      <w:r w:rsidRPr="009F2042">
        <w:rPr>
          <w:lang w:eastAsia="ja-JP"/>
        </w:rPr>
        <w:t xml:space="preserve"> operation, two similar classes can be identified</w:t>
      </w:r>
      <w:r w:rsidR="00D30142" w:rsidRPr="009F2042">
        <w:rPr>
          <w:lang w:eastAsia="ja-JP"/>
        </w:rPr>
        <w:t>. One with potentially loose and one with strict reception timing alignment between IAB-MT and co-located IAB-DU.</w:t>
      </w:r>
    </w:p>
    <w:p w14:paraId="47CBD4DF" w14:textId="6E1E0B8E" w:rsidR="005075A5" w:rsidRPr="009F2042" w:rsidRDefault="00984DBB" w:rsidP="00ED6838">
      <w:pPr>
        <w:jc w:val="both"/>
        <w:rPr>
          <w:lang w:eastAsia="ja-JP"/>
        </w:rPr>
      </w:pPr>
      <w:r w:rsidRPr="009F2042">
        <w:rPr>
          <w:lang w:eastAsia="ja-JP"/>
        </w:rPr>
        <w:t>The s</w:t>
      </w:r>
      <w:r w:rsidR="005075A5" w:rsidRPr="009F2042">
        <w:rPr>
          <w:lang w:eastAsia="ja-JP"/>
        </w:rPr>
        <w:t xml:space="preserve">econd class </w:t>
      </w:r>
      <w:r w:rsidRPr="009F2042">
        <w:rPr>
          <w:lang w:eastAsia="ja-JP"/>
        </w:rPr>
        <w:t>o</w:t>
      </w:r>
      <w:r w:rsidR="005075A5" w:rsidRPr="009F2042">
        <w:rPr>
          <w:lang w:eastAsia="ja-JP"/>
        </w:rPr>
        <w:t xml:space="preserve">f IAB-nodes is motivated by restrictions in timing differences for common PHY layer processing, such as </w:t>
      </w:r>
      <w:r w:rsidRPr="009F2042">
        <w:rPr>
          <w:lang w:eastAsia="ja-JP"/>
        </w:rPr>
        <w:t xml:space="preserve">the </w:t>
      </w:r>
      <w:r w:rsidR="005075A5" w:rsidRPr="009F2042">
        <w:rPr>
          <w:lang w:eastAsia="ja-JP"/>
        </w:rPr>
        <w:t>FFT (and is the original reason for the discussion about Case-6 timing configurations in case of sim</w:t>
      </w:r>
      <w:r w:rsidRPr="009F2042">
        <w:rPr>
          <w:lang w:eastAsia="ja-JP"/>
        </w:rPr>
        <w:t>ultaneous IAB-MT/-DU transmission</w:t>
      </w:r>
      <w:r w:rsidR="00D30142" w:rsidRPr="009F2042">
        <w:rPr>
          <w:lang w:eastAsia="ja-JP"/>
        </w:rPr>
        <w:t>, similar for Case-7</w:t>
      </w:r>
      <w:r w:rsidR="005075A5" w:rsidRPr="009F2042">
        <w:rPr>
          <w:lang w:eastAsia="ja-JP"/>
        </w:rPr>
        <w:t>)</w:t>
      </w:r>
      <w:r w:rsidRPr="009F2042">
        <w:rPr>
          <w:lang w:eastAsia="ja-JP"/>
        </w:rPr>
        <w:t>.</w:t>
      </w:r>
    </w:p>
    <w:p w14:paraId="3F53A77B" w14:textId="30F28E7D" w:rsidR="005075A5" w:rsidRPr="009F2042" w:rsidRDefault="005075A5" w:rsidP="00ED6838">
      <w:pPr>
        <w:jc w:val="both"/>
        <w:rPr>
          <w:lang w:eastAsia="ja-JP"/>
        </w:rPr>
      </w:pPr>
      <w:proofErr w:type="gramStart"/>
      <w:r w:rsidRPr="009F2042">
        <w:rPr>
          <w:lang w:eastAsia="ja-JP"/>
        </w:rPr>
        <w:t>A</w:t>
      </w:r>
      <w:proofErr w:type="gramEnd"/>
      <w:r w:rsidRPr="009F2042">
        <w:rPr>
          <w:lang w:eastAsia="ja-JP"/>
        </w:rPr>
        <w:t xml:space="preserve"> </w:t>
      </w:r>
      <w:r w:rsidR="00CD3F93" w:rsidRPr="009F2042">
        <w:rPr>
          <w:lang w:eastAsia="ja-JP"/>
        </w:rPr>
        <w:t xml:space="preserve">OTA </w:t>
      </w:r>
      <w:r w:rsidRPr="009F2042">
        <w:rPr>
          <w:lang w:eastAsia="ja-JP"/>
        </w:rPr>
        <w:t>sync</w:t>
      </w:r>
      <w:r w:rsidR="00984DBB" w:rsidRPr="009F2042">
        <w:rPr>
          <w:lang w:eastAsia="ja-JP"/>
        </w:rPr>
        <w:t>hronization</w:t>
      </w:r>
      <w:r w:rsidRPr="009F2042">
        <w:rPr>
          <w:lang w:eastAsia="ja-JP"/>
        </w:rPr>
        <w:t xml:space="preserve"> method</w:t>
      </w:r>
      <w:r w:rsidR="00984DBB" w:rsidRPr="009F2042">
        <w:rPr>
          <w:lang w:eastAsia="ja-JP"/>
        </w:rPr>
        <w:t xml:space="preserve"> for IAB-nodes for simultaneous transmission </w:t>
      </w:r>
      <w:r w:rsidRPr="009F2042">
        <w:rPr>
          <w:lang w:eastAsia="ja-JP"/>
        </w:rPr>
        <w:t xml:space="preserve">should also support nodes that </w:t>
      </w:r>
      <w:r w:rsidR="00984DBB" w:rsidRPr="009F2042">
        <w:rPr>
          <w:lang w:eastAsia="ja-JP"/>
        </w:rPr>
        <w:t xml:space="preserve">belong to the second class, i.e., nodes that </w:t>
      </w:r>
      <w:r w:rsidRPr="009F2042">
        <w:rPr>
          <w:lang w:eastAsia="ja-JP"/>
        </w:rPr>
        <w:t>require</w:t>
      </w:r>
      <w:r w:rsidR="00B84042" w:rsidRPr="009F2042">
        <w:rPr>
          <w:lang w:eastAsia="ja-JP"/>
        </w:rPr>
        <w:t xml:space="preserve"> identical MT and DU </w:t>
      </w:r>
      <w:r w:rsidR="00984DBB" w:rsidRPr="009F2042">
        <w:rPr>
          <w:lang w:eastAsia="ja-JP"/>
        </w:rPr>
        <w:t>transmission</w:t>
      </w:r>
      <w:r w:rsidR="00B84042" w:rsidRPr="009F2042">
        <w:rPr>
          <w:lang w:eastAsia="ja-JP"/>
        </w:rPr>
        <w:t xml:space="preserve"> timing (</w:t>
      </w:r>
      <w:r w:rsidR="00CD3F93" w:rsidRPr="009F2042">
        <w:rPr>
          <w:lang w:eastAsia="ja-JP"/>
        </w:rPr>
        <w:t>with any theoretical timing difference only due to internal design</w:t>
      </w:r>
      <w:r w:rsidR="00B84042" w:rsidRPr="009F2042">
        <w:rPr>
          <w:lang w:eastAsia="ja-JP"/>
        </w:rPr>
        <w:t>).</w:t>
      </w:r>
    </w:p>
    <w:p w14:paraId="363C1595" w14:textId="758FE2AD" w:rsidR="00C70CA7" w:rsidRPr="009F2042" w:rsidRDefault="00C70CA7" w:rsidP="00ED6838">
      <w:pPr>
        <w:pStyle w:val="Observation"/>
      </w:pPr>
      <w:bookmarkStart w:id="1" w:name="_Toc79180093"/>
      <w:r w:rsidRPr="009F2042">
        <w:t xml:space="preserve">Case-6 and Case-7 timing were defined to enable identical MT and DU transmission and reception </w:t>
      </w:r>
      <w:r w:rsidR="009930A9" w:rsidRPr="009F2042">
        <w:t xml:space="preserve">timing, </w:t>
      </w:r>
      <w:r w:rsidRPr="009F2042">
        <w:t>respectively.</w:t>
      </w:r>
      <w:bookmarkEnd w:id="1"/>
    </w:p>
    <w:p w14:paraId="5C6EB9EA" w14:textId="6C79D6CD" w:rsidR="00AF2EE4" w:rsidRPr="009F2042" w:rsidRDefault="00AF2EE4" w:rsidP="00ED6838">
      <w:pPr>
        <w:pStyle w:val="Proposal"/>
      </w:pPr>
      <w:bookmarkStart w:id="2" w:name="_Toc79180112"/>
      <w:r w:rsidRPr="009F2042">
        <w:t xml:space="preserve">Any </w:t>
      </w:r>
      <w:r w:rsidR="00984DBB" w:rsidRPr="009F2042">
        <w:rPr>
          <w:lang w:eastAsia="ja-JP"/>
        </w:rPr>
        <w:t xml:space="preserve">synchronization </w:t>
      </w:r>
      <w:r w:rsidRPr="009F2042">
        <w:t xml:space="preserve">method </w:t>
      </w:r>
      <w:r w:rsidR="00984DBB" w:rsidRPr="009F2042">
        <w:rPr>
          <w:lang w:eastAsia="ja-JP"/>
        </w:rPr>
        <w:t xml:space="preserve">for IAB-nodes for simultaneous transmission </w:t>
      </w:r>
      <w:r w:rsidRPr="009F2042">
        <w:t xml:space="preserve">should also support nodes that require identical MT and DU Tx </w:t>
      </w:r>
      <w:r w:rsidR="00F21C56" w:rsidRPr="009F2042">
        <w:t>timing</w:t>
      </w:r>
      <w:r w:rsidRPr="009F2042">
        <w:t>.</w:t>
      </w:r>
      <w:bookmarkEnd w:id="2"/>
    </w:p>
    <w:p w14:paraId="3CD51684" w14:textId="10B5954E" w:rsidR="002658BE" w:rsidRPr="009F2042" w:rsidRDefault="00F21C56" w:rsidP="00ED6838">
      <w:pPr>
        <w:jc w:val="both"/>
        <w:rPr>
          <w:lang w:eastAsia="ja-JP"/>
        </w:rPr>
      </w:pPr>
      <w:r w:rsidRPr="009F2042">
        <w:rPr>
          <w:lang w:eastAsia="ja-JP"/>
        </w:rPr>
        <w:t>Synchronization of base stations (BS</w:t>
      </w:r>
      <w:r w:rsidR="00CD3F93" w:rsidRPr="009F2042">
        <w:rPr>
          <w:lang w:eastAsia="ja-JP"/>
        </w:rPr>
        <w:t>s</w:t>
      </w:r>
      <w:r w:rsidRPr="009F2042">
        <w:rPr>
          <w:lang w:eastAsia="ja-JP"/>
        </w:rPr>
        <w:t>)</w:t>
      </w:r>
      <w:r w:rsidR="00B84042" w:rsidRPr="009F2042">
        <w:rPr>
          <w:lang w:eastAsia="ja-JP"/>
        </w:rPr>
        <w:t xml:space="preserve"> is usually done via GNSS (wireless) or PTP (wired).</w:t>
      </w:r>
      <w:r w:rsidR="007D6468" w:rsidRPr="009F2042">
        <w:rPr>
          <w:lang w:eastAsia="ja-JP"/>
        </w:rPr>
        <w:t xml:space="preserve"> Both can ensure accurate sync per BS. That means performance of</w:t>
      </w:r>
      <w:r w:rsidR="00CD3F93" w:rsidRPr="009F2042">
        <w:rPr>
          <w:lang w:eastAsia="ja-JP"/>
        </w:rPr>
        <w:t xml:space="preserve"> </w:t>
      </w:r>
      <w:r w:rsidR="007D6468" w:rsidRPr="009F2042">
        <w:rPr>
          <w:lang w:eastAsia="ja-JP"/>
        </w:rPr>
        <w:t xml:space="preserve">BS A does not depend on any performance figures of another BS B. </w:t>
      </w:r>
      <w:r w:rsidRPr="009F2042">
        <w:rPr>
          <w:lang w:eastAsia="ja-JP"/>
        </w:rPr>
        <w:t xml:space="preserve">Synchronization </w:t>
      </w:r>
      <w:r w:rsidR="007D6468" w:rsidRPr="009F2042">
        <w:rPr>
          <w:lang w:eastAsia="ja-JP"/>
        </w:rPr>
        <w:t>performance of BSs only depend on respective BS design</w:t>
      </w:r>
      <w:r w:rsidR="00F07F5F" w:rsidRPr="009F2042">
        <w:rPr>
          <w:lang w:eastAsia="ja-JP"/>
        </w:rPr>
        <w:t xml:space="preserve"> and their synchronization source but not on RAN</w:t>
      </w:r>
      <w:r w:rsidR="007D6468" w:rsidRPr="009F2042">
        <w:rPr>
          <w:lang w:eastAsia="ja-JP"/>
        </w:rPr>
        <w:t>. This also makes sense from testing an</w:t>
      </w:r>
      <w:r w:rsidR="00D224AB" w:rsidRPr="009F2042">
        <w:rPr>
          <w:lang w:eastAsia="ja-JP"/>
        </w:rPr>
        <w:t>d</w:t>
      </w:r>
      <w:r w:rsidR="007D6468" w:rsidRPr="009F2042">
        <w:rPr>
          <w:lang w:eastAsia="ja-JP"/>
        </w:rPr>
        <w:t xml:space="preserve"> inter-op</w:t>
      </w:r>
      <w:r w:rsidR="00F07F5F" w:rsidRPr="009F2042">
        <w:rPr>
          <w:lang w:eastAsia="ja-JP"/>
        </w:rPr>
        <w:t>era</w:t>
      </w:r>
      <w:r w:rsidR="00450348" w:rsidRPr="009F2042">
        <w:rPr>
          <w:lang w:eastAsia="ja-JP"/>
        </w:rPr>
        <w:t>bility</w:t>
      </w:r>
      <w:r w:rsidR="007D6468" w:rsidRPr="009F2042">
        <w:rPr>
          <w:lang w:eastAsia="ja-JP"/>
        </w:rPr>
        <w:t xml:space="preserve"> point of view, since RAN nodes can be tested, and operation verified on </w:t>
      </w:r>
      <w:r w:rsidR="00450348" w:rsidRPr="009F2042">
        <w:rPr>
          <w:lang w:eastAsia="ja-JP"/>
        </w:rPr>
        <w:t xml:space="preserve">an </w:t>
      </w:r>
      <w:r w:rsidR="007D6468" w:rsidRPr="009F2042">
        <w:rPr>
          <w:lang w:eastAsia="ja-JP"/>
        </w:rPr>
        <w:t xml:space="preserve">individual </w:t>
      </w:r>
      <w:r w:rsidRPr="009F2042">
        <w:rPr>
          <w:lang w:eastAsia="ja-JP"/>
        </w:rPr>
        <w:t xml:space="preserve">BS </w:t>
      </w:r>
      <w:r w:rsidR="007D6468" w:rsidRPr="009F2042">
        <w:rPr>
          <w:lang w:eastAsia="ja-JP"/>
        </w:rPr>
        <w:t>basis.</w:t>
      </w:r>
      <w:r w:rsidR="005D17A3" w:rsidRPr="009F2042">
        <w:rPr>
          <w:lang w:eastAsia="ja-JP"/>
        </w:rPr>
        <w:t xml:space="preserve"> </w:t>
      </w:r>
      <w:r w:rsidR="007D6468" w:rsidRPr="009F2042">
        <w:rPr>
          <w:lang w:eastAsia="ja-JP"/>
        </w:rPr>
        <w:t xml:space="preserve">This principle is also honored in Rel-16 by not having any specific requirements on </w:t>
      </w:r>
      <w:proofErr w:type="spellStart"/>
      <w:r w:rsidR="007D6468" w:rsidRPr="009F2042">
        <w:rPr>
          <w:lang w:eastAsia="ja-JP"/>
        </w:rPr>
        <w:t>T_delta</w:t>
      </w:r>
      <w:proofErr w:type="spellEnd"/>
      <w:r w:rsidR="007D6468" w:rsidRPr="009F2042">
        <w:rPr>
          <w:lang w:eastAsia="ja-JP"/>
        </w:rPr>
        <w:t xml:space="preserve"> (accuracy, provisioning, etc.) and the determination of OTA sync (including the estimation performance</w:t>
      </w:r>
      <w:r w:rsidR="002658BE" w:rsidRPr="009F2042">
        <w:rPr>
          <w:lang w:eastAsia="ja-JP"/>
        </w:rPr>
        <w:t xml:space="preserve"> of a propagation delay, but existing cell phase synchronization accuracy requirements of </w:t>
      </w:r>
      <w:r w:rsidR="00F07F5F" w:rsidRPr="009F2042">
        <w:rPr>
          <w:lang w:eastAsia="ja-JP"/>
        </w:rPr>
        <w:t>+/- 1.5</w:t>
      </w:r>
      <w:r w:rsidR="00D224AB" w:rsidRPr="009F2042">
        <w:rPr>
          <w:lang w:eastAsia="ja-JP"/>
        </w:rPr>
        <w:t xml:space="preserve"> µ</w:t>
      </w:r>
      <w:r w:rsidR="002658BE" w:rsidRPr="009F2042">
        <w:rPr>
          <w:lang w:eastAsia="ja-JP"/>
        </w:rPr>
        <w:t>s for any RAN node).</w:t>
      </w:r>
    </w:p>
    <w:p w14:paraId="41B1F179" w14:textId="10F0AFCD" w:rsidR="00D95A86" w:rsidRPr="009F2042" w:rsidRDefault="00D95A86" w:rsidP="00ED6838">
      <w:pPr>
        <w:pStyle w:val="Observation"/>
      </w:pPr>
      <w:bookmarkStart w:id="3" w:name="_Toc79180094"/>
      <w:r w:rsidRPr="009F2042">
        <w:lastRenderedPageBreak/>
        <w:t xml:space="preserve">Base station synchronization performance does not depend </w:t>
      </w:r>
      <w:r w:rsidR="00C05553" w:rsidRPr="009F2042">
        <w:t>on and</w:t>
      </w:r>
      <w:r w:rsidR="00EC32EB" w:rsidRPr="009F2042">
        <w:t xml:space="preserve"> is not</w:t>
      </w:r>
      <w:r w:rsidRPr="009F2042">
        <w:t xml:space="preserve"> set based on the synchronization performance of other BS</w:t>
      </w:r>
      <w:r w:rsidR="00064F03" w:rsidRPr="009F2042">
        <w:t>s</w:t>
      </w:r>
      <w:r w:rsidRPr="009F2042">
        <w:t xml:space="preserve"> in RAN.</w:t>
      </w:r>
      <w:bookmarkEnd w:id="3"/>
    </w:p>
    <w:p w14:paraId="36C9DE01" w14:textId="5688F83C" w:rsidR="002658BE" w:rsidRPr="009F2042" w:rsidRDefault="002658BE" w:rsidP="00ED6838">
      <w:pPr>
        <w:jc w:val="both"/>
        <w:rPr>
          <w:lang w:eastAsia="ja-JP"/>
        </w:rPr>
      </w:pPr>
      <w:r w:rsidRPr="009F2042">
        <w:rPr>
          <w:lang w:eastAsia="ja-JP"/>
        </w:rPr>
        <w:t>A</w:t>
      </w:r>
      <w:r w:rsidR="00982972" w:rsidRPr="009F2042">
        <w:rPr>
          <w:lang w:eastAsia="ja-JP"/>
        </w:rPr>
        <w:t>dditionally, a</w:t>
      </w:r>
      <w:r w:rsidRPr="009F2042">
        <w:rPr>
          <w:lang w:eastAsia="ja-JP"/>
        </w:rPr>
        <w:t xml:space="preserve"> BS does not know the effective </w:t>
      </w:r>
      <w:r w:rsidR="00F21C56" w:rsidRPr="009F2042">
        <w:rPr>
          <w:lang w:eastAsia="ja-JP"/>
        </w:rPr>
        <w:t>timing advance (</w:t>
      </w:r>
      <w:r w:rsidRPr="009F2042">
        <w:rPr>
          <w:lang w:eastAsia="ja-JP"/>
        </w:rPr>
        <w:t>TA</w:t>
      </w:r>
      <w:r w:rsidR="00F21C56" w:rsidRPr="009F2042">
        <w:rPr>
          <w:lang w:eastAsia="ja-JP"/>
        </w:rPr>
        <w:t>)</w:t>
      </w:r>
      <w:r w:rsidRPr="009F2042">
        <w:rPr>
          <w:lang w:eastAsia="ja-JP"/>
        </w:rPr>
        <w:t xml:space="preserve"> of a UE. It knows</w:t>
      </w:r>
      <w:r w:rsidR="00632464" w:rsidRPr="009F2042">
        <w:rPr>
          <w:lang w:eastAsia="ja-JP"/>
        </w:rPr>
        <w:t xml:space="preserve"> at most</w:t>
      </w:r>
      <w:r w:rsidRPr="009F2042">
        <w:rPr>
          <w:lang w:eastAsia="ja-JP"/>
        </w:rPr>
        <w:t xml:space="preserve"> the sequence of TA commands</w:t>
      </w:r>
      <w:r w:rsidR="008F4B00" w:rsidRPr="009F2042">
        <w:rPr>
          <w:lang w:eastAsia="ja-JP"/>
        </w:rPr>
        <w:t xml:space="preserve">, a sequence of </w:t>
      </w:r>
      <w:r w:rsidRPr="009F2042">
        <w:rPr>
          <w:i/>
          <w:iCs/>
          <w:lang w:eastAsia="ja-JP"/>
        </w:rPr>
        <w:t>differential</w:t>
      </w:r>
      <w:r w:rsidRPr="009F2042">
        <w:rPr>
          <w:lang w:eastAsia="ja-JP"/>
        </w:rPr>
        <w:t xml:space="preserve"> </w:t>
      </w:r>
      <w:r w:rsidR="008F4B00" w:rsidRPr="009F2042">
        <w:rPr>
          <w:lang w:eastAsia="ja-JP"/>
        </w:rPr>
        <w:t xml:space="preserve">TA </w:t>
      </w:r>
      <w:r w:rsidR="00F07F5F" w:rsidRPr="009F2042">
        <w:rPr>
          <w:lang w:eastAsia="ja-JP"/>
        </w:rPr>
        <w:t>changes</w:t>
      </w:r>
      <w:r w:rsidRPr="009F2042">
        <w:rPr>
          <w:lang w:eastAsia="ja-JP"/>
        </w:rPr>
        <w:t xml:space="preserve">. What is of primary concern for a BS is the UL </w:t>
      </w:r>
      <w:r w:rsidR="00632464" w:rsidRPr="009F2042">
        <w:rPr>
          <w:lang w:eastAsia="ja-JP"/>
        </w:rPr>
        <w:t>reception</w:t>
      </w:r>
      <w:r w:rsidRPr="009F2042">
        <w:rPr>
          <w:lang w:eastAsia="ja-JP"/>
        </w:rPr>
        <w:t xml:space="preserve"> timing </w:t>
      </w:r>
      <w:r w:rsidR="007553AF" w:rsidRPr="009F2042">
        <w:rPr>
          <w:lang w:eastAsia="ja-JP"/>
        </w:rPr>
        <w:t xml:space="preserve">for UE transmissions. Even </w:t>
      </w:r>
      <w:r w:rsidR="0013150E" w:rsidRPr="009F2042">
        <w:rPr>
          <w:lang w:eastAsia="ja-JP"/>
        </w:rPr>
        <w:t xml:space="preserve">if </w:t>
      </w:r>
      <w:r w:rsidR="007553AF" w:rsidRPr="009F2042">
        <w:rPr>
          <w:lang w:eastAsia="ja-JP"/>
        </w:rPr>
        <w:t xml:space="preserve">TA would be known at a certain point, the inherent probability of failed transmissions in wireless systems does not allow a BS to </w:t>
      </w:r>
      <w:r w:rsidR="00F07F5F" w:rsidRPr="009F2042">
        <w:rPr>
          <w:lang w:eastAsia="ja-JP"/>
        </w:rPr>
        <w:t xml:space="preserve">be sure of </w:t>
      </w:r>
      <w:r w:rsidR="007553AF" w:rsidRPr="009F2042">
        <w:rPr>
          <w:lang w:eastAsia="ja-JP"/>
        </w:rPr>
        <w:t xml:space="preserve">the proper reception of all </w:t>
      </w:r>
      <w:r w:rsidR="0013150E" w:rsidRPr="009F2042">
        <w:rPr>
          <w:lang w:eastAsia="ja-JP"/>
        </w:rPr>
        <w:t xml:space="preserve">future </w:t>
      </w:r>
      <w:r w:rsidR="007553AF" w:rsidRPr="009F2042">
        <w:rPr>
          <w:lang w:eastAsia="ja-JP"/>
        </w:rPr>
        <w:t>TA command</w:t>
      </w:r>
      <w:r w:rsidR="00982972" w:rsidRPr="009F2042">
        <w:rPr>
          <w:lang w:eastAsia="ja-JP"/>
        </w:rPr>
        <w:t>s</w:t>
      </w:r>
      <w:r w:rsidR="00C7095F" w:rsidRPr="009F2042">
        <w:rPr>
          <w:lang w:eastAsia="ja-JP"/>
        </w:rPr>
        <w:t xml:space="preserve"> </w:t>
      </w:r>
      <w:proofErr w:type="gramStart"/>
      <w:r w:rsidR="00C7095F" w:rsidRPr="009F2042">
        <w:rPr>
          <w:lang w:eastAsia="ja-JP"/>
        </w:rPr>
        <w:t>in order to</w:t>
      </w:r>
      <w:proofErr w:type="gramEnd"/>
      <w:r w:rsidR="00C7095F" w:rsidRPr="009F2042">
        <w:rPr>
          <w:lang w:eastAsia="ja-JP"/>
        </w:rPr>
        <w:t xml:space="preserve"> track any TA changes</w:t>
      </w:r>
      <w:r w:rsidR="00982972" w:rsidRPr="009F2042">
        <w:rPr>
          <w:lang w:eastAsia="ja-JP"/>
        </w:rPr>
        <w:t>. O</w:t>
      </w:r>
      <w:r w:rsidR="00632464" w:rsidRPr="009F2042">
        <w:rPr>
          <w:lang w:eastAsia="ja-JP"/>
        </w:rPr>
        <w:t>ther reasons, preventing a BS from knowing a UE’s TA is that a BS does not know how a UE implements (including deviations from the ideal</w:t>
      </w:r>
      <w:r w:rsidR="006558CB" w:rsidRPr="009F2042">
        <w:rPr>
          <w:lang w:eastAsia="ja-JP"/>
        </w:rPr>
        <w:t xml:space="preserve"> of</w:t>
      </w:r>
      <w:r w:rsidR="00632464" w:rsidRPr="009F2042">
        <w:rPr>
          <w:lang w:eastAsia="ja-JP"/>
        </w:rPr>
        <w:t>) any TA adjustment. All of this is taken care</w:t>
      </w:r>
      <w:r w:rsidR="00572F55" w:rsidRPr="009F2042">
        <w:rPr>
          <w:lang w:eastAsia="ja-JP"/>
        </w:rPr>
        <w:t xml:space="preserve"> of</w:t>
      </w:r>
      <w:r w:rsidR="00632464" w:rsidRPr="009F2042">
        <w:rPr>
          <w:lang w:eastAsia="ja-JP"/>
        </w:rPr>
        <w:t xml:space="preserve"> in </w:t>
      </w:r>
      <w:r w:rsidR="007738AB" w:rsidRPr="009F2042">
        <w:rPr>
          <w:lang w:eastAsia="ja-JP"/>
        </w:rPr>
        <w:t xml:space="preserve">the </w:t>
      </w:r>
      <w:r w:rsidR="00632464" w:rsidRPr="009F2042">
        <w:rPr>
          <w:lang w:eastAsia="ja-JP"/>
        </w:rPr>
        <w:t xml:space="preserve">specification by the design on </w:t>
      </w:r>
      <w:r w:rsidR="00572F55" w:rsidRPr="009F2042">
        <w:rPr>
          <w:lang w:eastAsia="ja-JP"/>
        </w:rPr>
        <w:t>the TA control loop, ensuring sufficient UL reception timing accuracy.</w:t>
      </w:r>
    </w:p>
    <w:p w14:paraId="26A0F6E2" w14:textId="5FA7E91E" w:rsidR="00572F55" w:rsidRPr="009F2042" w:rsidRDefault="00572F55" w:rsidP="00ED6838">
      <w:pPr>
        <w:jc w:val="both"/>
      </w:pPr>
      <w:r w:rsidRPr="009F2042">
        <w:rPr>
          <w:lang w:eastAsia="ja-JP"/>
        </w:rPr>
        <w:t>The same reasoning as for UEs applies also for IAB-MT</w:t>
      </w:r>
      <w:r w:rsidR="0013150E" w:rsidRPr="009F2042">
        <w:rPr>
          <w:lang w:eastAsia="ja-JP"/>
        </w:rPr>
        <w:t>s</w:t>
      </w:r>
      <w:r w:rsidRPr="009F2042">
        <w:rPr>
          <w:lang w:eastAsia="ja-JP"/>
        </w:rPr>
        <w:t xml:space="preserve">. </w:t>
      </w:r>
      <w:r w:rsidR="00C05553" w:rsidRPr="009F2042">
        <w:rPr>
          <w:lang w:eastAsia="ja-JP"/>
        </w:rPr>
        <w:t>That is</w:t>
      </w:r>
      <w:r w:rsidRPr="009F2042">
        <w:rPr>
          <w:lang w:eastAsia="ja-JP"/>
        </w:rPr>
        <w:t>, i</w:t>
      </w:r>
      <w:r w:rsidRPr="009F2042">
        <w:t>t is not guaranteed that a parent IAB-node knows the actual TA of child IAB-MTs.</w:t>
      </w:r>
    </w:p>
    <w:p w14:paraId="0474511C" w14:textId="77777777" w:rsidR="00174F3B" w:rsidRPr="009F2042" w:rsidRDefault="00572F55" w:rsidP="00ED6838">
      <w:pPr>
        <w:pStyle w:val="Observation"/>
      </w:pPr>
      <w:bookmarkStart w:id="4" w:name="_Toc79180095"/>
      <w:r w:rsidRPr="009F2042">
        <w:t>It is not guaranteed that an IAB-parent knows the actual TA of descendent IAB-nodes.</w:t>
      </w:r>
      <w:bookmarkEnd w:id="4"/>
    </w:p>
    <w:p w14:paraId="1BF40B83" w14:textId="70160024" w:rsidR="00572F55" w:rsidRPr="009F2042" w:rsidRDefault="00072E9B" w:rsidP="00ED6838">
      <w:pPr>
        <w:pStyle w:val="Observation"/>
      </w:pPr>
      <w:bookmarkStart w:id="5" w:name="_Toc79180096"/>
      <w:r w:rsidRPr="009F2042">
        <w:t xml:space="preserve">There is no signaling </w:t>
      </w:r>
      <w:r w:rsidR="00127412" w:rsidRPr="009F2042">
        <w:t xml:space="preserve">specified </w:t>
      </w:r>
      <w:r w:rsidRPr="009F2042">
        <w:t xml:space="preserve">of an absolute </w:t>
      </w:r>
      <w:r w:rsidR="00572F55" w:rsidRPr="009F2042">
        <w:t xml:space="preserve">TA, </w:t>
      </w:r>
      <w:r w:rsidR="00127412" w:rsidRPr="009F2042">
        <w:t>instead</w:t>
      </w:r>
      <w:r w:rsidR="00572F55" w:rsidRPr="009F2042">
        <w:t xml:space="preserve"> </w:t>
      </w:r>
      <w:r w:rsidRPr="009F2042">
        <w:t>TA</w:t>
      </w:r>
      <w:r w:rsidR="00572F55" w:rsidRPr="009F2042">
        <w:t xml:space="preserve"> is </w:t>
      </w:r>
      <w:r w:rsidRPr="009F2042">
        <w:t xml:space="preserve">adjusted </w:t>
      </w:r>
      <w:r w:rsidR="006558CB" w:rsidRPr="009F2042">
        <w:t xml:space="preserve">by a BS </w:t>
      </w:r>
      <w:r w:rsidRPr="009F2042">
        <w:t>in a</w:t>
      </w:r>
      <w:r w:rsidR="00572F55" w:rsidRPr="009F2042">
        <w:t xml:space="preserve"> differential</w:t>
      </w:r>
      <w:r w:rsidRPr="009F2042">
        <w:t xml:space="preserve"> manner</w:t>
      </w:r>
      <w:r w:rsidR="006558CB" w:rsidRPr="009F2042">
        <w:t xml:space="preserve"> to meet its UL reception timing demands</w:t>
      </w:r>
      <w:r w:rsidR="00572F55" w:rsidRPr="009F2042">
        <w:t>.</w:t>
      </w:r>
      <w:bookmarkEnd w:id="5"/>
    </w:p>
    <w:p w14:paraId="5A6984E6" w14:textId="3C31C294" w:rsidR="00572F55" w:rsidRPr="009F2042" w:rsidRDefault="008F4B00" w:rsidP="00ED6838">
      <w:pPr>
        <w:jc w:val="both"/>
      </w:pPr>
      <w:r w:rsidRPr="009F2042">
        <w:t xml:space="preserve">As for knowing the actual value of TA that a UE is using, a BS is also not concerned about a UE’s actual reception and transmission timing. Again, a BS is primarily concerned about </w:t>
      </w:r>
      <w:r w:rsidRPr="009F2042">
        <w:rPr>
          <w:lang w:eastAsia="ja-JP"/>
        </w:rPr>
        <w:t xml:space="preserve">UL reception timing for UE transmissions. From that, </w:t>
      </w:r>
      <w:proofErr w:type="gramStart"/>
      <w:r w:rsidRPr="009F2042">
        <w:rPr>
          <w:lang w:eastAsia="ja-JP"/>
        </w:rPr>
        <w:t>it is clear that a</w:t>
      </w:r>
      <w:proofErr w:type="gramEnd"/>
      <w:r w:rsidRPr="009F2042">
        <w:rPr>
          <w:lang w:eastAsia="ja-JP"/>
        </w:rPr>
        <w:t xml:space="preserve"> BS does not </w:t>
      </w:r>
      <w:r w:rsidRPr="009F2042">
        <w:t>necessarily know the propagation delay to UEs – in the IAB case</w:t>
      </w:r>
      <w:r w:rsidR="00F33335" w:rsidRPr="009F2042">
        <w:t>,</w:t>
      </w:r>
      <w:r w:rsidRPr="009F2042">
        <w:t xml:space="preserve"> a parent IAB-node does not know the propagation delay to descendent IAB-nodes.</w:t>
      </w:r>
    </w:p>
    <w:p w14:paraId="5734229A" w14:textId="11232A1E" w:rsidR="00572F55" w:rsidRPr="009F2042" w:rsidRDefault="003F43E6" w:rsidP="00ED6838">
      <w:pPr>
        <w:pStyle w:val="Observation"/>
      </w:pPr>
      <w:bookmarkStart w:id="6" w:name="_Toc79180097"/>
      <w:r w:rsidRPr="009F2042">
        <w:t>A parent IAB-node does not necessarily know the propagation delay to descendent IAB-nodes.</w:t>
      </w:r>
      <w:bookmarkEnd w:id="6"/>
    </w:p>
    <w:p w14:paraId="5EDBF1DF" w14:textId="171056BF" w:rsidR="00B81F22" w:rsidRPr="009F2042" w:rsidRDefault="00B81F22" w:rsidP="00ED6838">
      <w:pPr>
        <w:jc w:val="both"/>
        <w:rPr>
          <w:rFonts w:cs="Arial"/>
          <w:lang w:eastAsia="ja-JP"/>
        </w:rPr>
      </w:pPr>
      <w:r w:rsidRPr="009F2042">
        <w:rPr>
          <w:rFonts w:cs="Arial"/>
          <w:lang w:eastAsia="ja-JP"/>
        </w:rPr>
        <w:t>If a</w:t>
      </w:r>
      <w:r w:rsidR="002D7DB1" w:rsidRPr="009F2042">
        <w:rPr>
          <w:rFonts w:cs="Arial"/>
          <w:lang w:eastAsia="ja-JP"/>
        </w:rPr>
        <w:t xml:space="preserve"> </w:t>
      </w:r>
      <w:r w:rsidRPr="009F2042" w:rsidDel="002D7DB1">
        <w:rPr>
          <w:rFonts w:cs="Arial"/>
          <w:lang w:eastAsia="ja-JP"/>
        </w:rPr>
        <w:t xml:space="preserve">parent </w:t>
      </w:r>
      <w:r w:rsidRPr="009F2042">
        <w:rPr>
          <w:rFonts w:cs="Arial"/>
          <w:lang w:eastAsia="ja-JP"/>
        </w:rPr>
        <w:t>IAB-</w:t>
      </w:r>
      <w:r w:rsidR="002D7DB1" w:rsidRPr="009F2042">
        <w:rPr>
          <w:rFonts w:cs="Arial"/>
          <w:lang w:eastAsia="ja-JP"/>
        </w:rPr>
        <w:t xml:space="preserve">node </w:t>
      </w:r>
      <w:r w:rsidRPr="009F2042">
        <w:rPr>
          <w:rFonts w:cs="Arial"/>
          <w:lang w:eastAsia="ja-JP"/>
        </w:rPr>
        <w:t>would know the actual TA of descend</w:t>
      </w:r>
      <w:r w:rsidR="00F33335" w:rsidRPr="009F2042">
        <w:rPr>
          <w:rFonts w:cs="Arial"/>
          <w:lang w:eastAsia="ja-JP"/>
        </w:rPr>
        <w:t>e</w:t>
      </w:r>
      <w:r w:rsidRPr="009F2042">
        <w:rPr>
          <w:rFonts w:cs="Arial"/>
          <w:lang w:eastAsia="ja-JP"/>
        </w:rPr>
        <w:t>nt IAB-nodes</w:t>
      </w:r>
      <w:r w:rsidR="0043224A" w:rsidRPr="009F2042">
        <w:rPr>
          <w:rFonts w:cs="Arial"/>
          <w:lang w:eastAsia="ja-JP"/>
        </w:rPr>
        <w:t>,</w:t>
      </w:r>
      <w:r w:rsidRPr="009F2042">
        <w:rPr>
          <w:rFonts w:cs="Arial"/>
          <w:lang w:eastAsia="ja-JP"/>
        </w:rPr>
        <w:t xml:space="preserve"> or even better the </w:t>
      </w:r>
      <w:r w:rsidR="00D92E64" w:rsidRPr="009F2042">
        <w:rPr>
          <w:rFonts w:cs="Arial"/>
          <w:lang w:eastAsia="ja-JP"/>
        </w:rPr>
        <w:t>propagation delay to descendent IAB-nodes</w:t>
      </w:r>
      <w:r w:rsidRPr="009F2042">
        <w:rPr>
          <w:rFonts w:cs="Arial"/>
          <w:lang w:eastAsia="ja-JP"/>
        </w:rPr>
        <w:t xml:space="preserve">, the parent node would not need to provide information </w:t>
      </w:r>
      <w:proofErr w:type="spellStart"/>
      <w:r w:rsidRPr="009F2042">
        <w:rPr>
          <w:rFonts w:cs="Arial"/>
          <w:lang w:eastAsia="ja-JP"/>
        </w:rPr>
        <w:t>T_delta</w:t>
      </w:r>
      <w:proofErr w:type="spellEnd"/>
      <w:r w:rsidRPr="009F2042">
        <w:rPr>
          <w:rFonts w:cs="Arial"/>
          <w:lang w:eastAsia="ja-JP"/>
        </w:rPr>
        <w:t xml:space="preserve"> (about </w:t>
      </w:r>
      <w:r w:rsidR="00D92E64" w:rsidRPr="009F2042">
        <w:rPr>
          <w:rFonts w:cs="Arial"/>
          <w:lang w:eastAsia="ja-JP"/>
        </w:rPr>
        <w:t>the parent node’s</w:t>
      </w:r>
      <w:r w:rsidRPr="009F2042">
        <w:rPr>
          <w:rFonts w:cs="Arial"/>
          <w:lang w:eastAsia="ja-JP"/>
        </w:rPr>
        <w:t xml:space="preserve"> internal timing relations) for the sake of estimating propagation delay </w:t>
      </w:r>
      <w:r w:rsidR="002D7DB1" w:rsidRPr="009F2042">
        <w:rPr>
          <w:rFonts w:cs="Arial"/>
          <w:lang w:eastAsia="ja-JP"/>
        </w:rPr>
        <w:t>by</w:t>
      </w:r>
      <w:r w:rsidRPr="009F2042">
        <w:rPr>
          <w:rFonts w:cs="Arial"/>
          <w:lang w:eastAsia="ja-JP"/>
        </w:rPr>
        <w:t xml:space="preserve"> descendent IAB-nodes, but it could immediately provide information about the propagation delay.</w:t>
      </w:r>
    </w:p>
    <w:p w14:paraId="2B0A3B98" w14:textId="29BE3867" w:rsidR="00BA08C9" w:rsidRPr="009F2042" w:rsidRDefault="00BA08C9" w:rsidP="00ED6838">
      <w:pPr>
        <w:jc w:val="both"/>
        <w:rPr>
          <w:lang w:eastAsia="ja-JP"/>
        </w:rPr>
      </w:pPr>
      <w:r w:rsidRPr="009F2042">
        <w:rPr>
          <w:lang w:eastAsia="ja-JP"/>
        </w:rPr>
        <w:t xml:space="preserve">Based on the guidance by RAN4 </w:t>
      </w:r>
      <w:r w:rsidR="00244060" w:rsidRPr="009F2042">
        <w:rPr>
          <w:lang w:eastAsia="ja-JP"/>
        </w:rPr>
        <w:fldChar w:fldCharType="begin"/>
      </w:r>
      <w:r w:rsidR="00244060">
        <w:rPr>
          <w:lang w:val="en-GB" w:eastAsia="ja-JP"/>
        </w:rPr>
        <w:instrText xml:space="preserve"> REF _Ref79141709 \w \h </w:instrText>
      </w:r>
      <w:r w:rsidR="00986820">
        <w:rPr>
          <w:lang w:val="en-GB" w:eastAsia="ja-JP"/>
        </w:rPr>
        <w:instrText xml:space="preserve"> \* MERGEFORMAT </w:instrText>
      </w:r>
      <w:r w:rsidR="00244060" w:rsidRPr="009F2042">
        <w:rPr>
          <w:lang w:eastAsia="ja-JP"/>
        </w:rPr>
      </w:r>
      <w:r w:rsidR="00244060" w:rsidRPr="009F2042">
        <w:rPr>
          <w:lang w:eastAsia="ja-JP"/>
        </w:rPr>
        <w:fldChar w:fldCharType="separate"/>
      </w:r>
      <w:r w:rsidR="00BC7F0D">
        <w:rPr>
          <w:lang w:val="en-GB" w:eastAsia="ja-JP"/>
        </w:rPr>
        <w:t>[9]</w:t>
      </w:r>
      <w:r w:rsidR="00244060" w:rsidRPr="009F2042">
        <w:rPr>
          <w:lang w:eastAsia="ja-JP"/>
        </w:rPr>
        <w:fldChar w:fldCharType="end"/>
      </w:r>
      <w:r w:rsidRPr="009F2042">
        <w:rPr>
          <w:lang w:eastAsia="ja-JP"/>
        </w:rPr>
        <w:t xml:space="preserve"> on a range (and </w:t>
      </w:r>
      <w:r w:rsidR="008C3448" w:rsidRPr="009F2042">
        <w:rPr>
          <w:lang w:eastAsia="ja-JP"/>
        </w:rPr>
        <w:t xml:space="preserve">related </w:t>
      </w:r>
      <w:r w:rsidRPr="009F2042">
        <w:rPr>
          <w:lang w:eastAsia="ja-JP"/>
        </w:rPr>
        <w:t xml:space="preserve">granularity) of </w:t>
      </w:r>
      <w:proofErr w:type="spellStart"/>
      <w:r w:rsidRPr="009F2042">
        <w:rPr>
          <w:lang w:eastAsia="ja-JP"/>
        </w:rPr>
        <w:t>T_delta</w:t>
      </w:r>
      <w:proofErr w:type="spellEnd"/>
      <w:r w:rsidR="00AE4F5A" w:rsidRPr="009F2042">
        <w:rPr>
          <w:lang w:eastAsia="ja-JP"/>
        </w:rPr>
        <w:t>, the (currently specified) minimum</w:t>
      </w:r>
      <w:r w:rsidR="00AE4F5A" w:rsidRPr="009F2042">
        <w:rPr>
          <w:rFonts w:cs="Arial"/>
          <w:lang w:eastAsia="ja-JP"/>
        </w:rPr>
        <w:t xml:space="preserve"> and maximum </w:t>
      </w:r>
      <w:proofErr w:type="spellStart"/>
      <w:r w:rsidR="00AE4F5A" w:rsidRPr="009F2042">
        <w:rPr>
          <w:rFonts w:cs="Arial"/>
          <w:lang w:eastAsia="ja-JP"/>
        </w:rPr>
        <w:t>T_delta,index</w:t>
      </w:r>
      <w:proofErr w:type="spellEnd"/>
      <w:r w:rsidR="00AE4F5A" w:rsidRPr="009F2042">
        <w:rPr>
          <w:rFonts w:cs="Arial"/>
          <w:lang w:eastAsia="ja-JP"/>
        </w:rPr>
        <w:t xml:space="preserve"> </w:t>
      </w:r>
      <w:r w:rsidR="008C3448" w:rsidRPr="009F2042">
        <w:rPr>
          <w:lang w:eastAsia="ja-JP"/>
        </w:rPr>
        <w:t>(</w:t>
      </w:r>
      <w:r w:rsidR="008C3448" w:rsidRPr="009F2042">
        <w:rPr>
          <w:rFonts w:cs="Arial"/>
          <w:lang w:eastAsia="ja-JP"/>
        </w:rPr>
        <w:t>as signaled by MAC CE</w:t>
      </w:r>
      <w:r w:rsidR="007E4038" w:rsidRPr="009F2042">
        <w:rPr>
          <w:rFonts w:cs="Arial"/>
          <w:lang w:eastAsia="ja-JP"/>
        </w:rPr>
        <w:t xml:space="preserve"> in TS 38.213</w:t>
      </w:r>
      <w:r w:rsidR="00362FF9" w:rsidRPr="009F2042">
        <w:rPr>
          <w:rFonts w:cs="Arial"/>
          <w:lang w:eastAsia="ja-JP"/>
        </w:rPr>
        <w:t xml:space="preserve"> </w:t>
      </w:r>
      <w:r w:rsidR="00362FF9" w:rsidRPr="009F2042">
        <w:rPr>
          <w:rFonts w:cs="Arial"/>
          <w:lang w:eastAsia="ja-JP"/>
        </w:rPr>
        <w:fldChar w:fldCharType="begin"/>
      </w:r>
      <w:r w:rsidR="00362FF9" w:rsidRPr="009F2042">
        <w:rPr>
          <w:rFonts w:cs="Arial"/>
          <w:lang w:eastAsia="ja-JP"/>
        </w:rPr>
        <w:instrText xml:space="preserve"> REF _Ref79153754 \r \h </w:instrText>
      </w:r>
      <w:r w:rsidR="00D94DC8" w:rsidRPr="009F2042">
        <w:rPr>
          <w:rFonts w:cs="Arial"/>
          <w:lang w:eastAsia="ja-JP"/>
        </w:rPr>
        <w:instrText xml:space="preserve"> \* MERGEFORMAT </w:instrText>
      </w:r>
      <w:r w:rsidR="00362FF9" w:rsidRPr="009F2042">
        <w:rPr>
          <w:rFonts w:cs="Arial"/>
          <w:lang w:eastAsia="ja-JP"/>
        </w:rPr>
      </w:r>
      <w:r w:rsidR="00362FF9" w:rsidRPr="009F2042">
        <w:rPr>
          <w:rFonts w:cs="Arial"/>
          <w:lang w:eastAsia="ja-JP"/>
        </w:rPr>
        <w:fldChar w:fldCharType="separate"/>
      </w:r>
      <w:r w:rsidR="00BC7F0D">
        <w:rPr>
          <w:rFonts w:cs="Arial"/>
          <w:lang w:eastAsia="ja-JP"/>
        </w:rPr>
        <w:t>[6]</w:t>
      </w:r>
      <w:r w:rsidR="00362FF9" w:rsidRPr="009F2042">
        <w:rPr>
          <w:rFonts w:cs="Arial"/>
          <w:lang w:eastAsia="ja-JP"/>
        </w:rPr>
        <w:fldChar w:fldCharType="end"/>
      </w:r>
      <w:r w:rsidR="008C3448" w:rsidRPr="009F2042">
        <w:rPr>
          <w:lang w:eastAsia="ja-JP"/>
        </w:rPr>
        <w:t xml:space="preserve">) </w:t>
      </w:r>
      <w:r w:rsidR="00AE4F5A" w:rsidRPr="009F2042">
        <w:rPr>
          <w:rFonts w:cs="Arial"/>
          <w:lang w:eastAsia="ja-JP"/>
        </w:rPr>
        <w:t xml:space="preserve">for timing configuration Case-1 is shown in </w:t>
      </w:r>
      <w:r w:rsidR="00AE4F5A" w:rsidRPr="009F2042">
        <w:rPr>
          <w:rFonts w:cs="Arial"/>
          <w:lang w:eastAsia="ja-JP"/>
        </w:rPr>
        <w:fldChar w:fldCharType="begin"/>
      </w:r>
      <w:r w:rsidR="00AE4F5A" w:rsidRPr="009F2042">
        <w:rPr>
          <w:rFonts w:cs="Arial"/>
          <w:lang w:eastAsia="ja-JP"/>
        </w:rPr>
        <w:instrText xml:space="preserve"> REF _Ref78974749 \h </w:instrText>
      </w:r>
      <w:r w:rsidR="00986820" w:rsidRPr="009F2042">
        <w:rPr>
          <w:rFonts w:cs="Arial"/>
          <w:lang w:eastAsia="ja-JP"/>
        </w:rPr>
        <w:instrText xml:space="preserve"> \* MERGEFORMAT </w:instrText>
      </w:r>
      <w:r w:rsidR="00AE4F5A" w:rsidRPr="009F2042">
        <w:rPr>
          <w:rFonts w:cs="Arial"/>
          <w:lang w:eastAsia="ja-JP"/>
        </w:rPr>
      </w:r>
      <w:r w:rsidR="00AE4F5A" w:rsidRPr="009F2042">
        <w:rPr>
          <w:rFonts w:cs="Arial"/>
          <w:lang w:eastAsia="ja-JP"/>
        </w:rPr>
        <w:fldChar w:fldCharType="separate"/>
      </w:r>
      <w:r w:rsidR="00BC7F0D" w:rsidRPr="009F2042">
        <w:t xml:space="preserve">Table </w:t>
      </w:r>
      <w:r w:rsidR="00BC7F0D">
        <w:rPr>
          <w:noProof/>
        </w:rPr>
        <w:t>1</w:t>
      </w:r>
      <w:r w:rsidR="00AE4F5A" w:rsidRPr="009F2042">
        <w:rPr>
          <w:rFonts w:cs="Arial"/>
          <w:lang w:eastAsia="ja-JP"/>
        </w:rPr>
        <w:fldChar w:fldCharType="end"/>
      </w:r>
      <w:r w:rsidR="00AE4F5A" w:rsidRPr="009F2042">
        <w:rPr>
          <w:rFonts w:cs="Arial"/>
          <w:lang w:eastAsia="ja-JP"/>
        </w:rPr>
        <w:t xml:space="preserve">. A derivation for the ranges of </w:t>
      </w:r>
      <w:proofErr w:type="spellStart"/>
      <w:r w:rsidR="00AE4F5A" w:rsidRPr="009F2042">
        <w:rPr>
          <w:rFonts w:cs="Arial"/>
          <w:lang w:eastAsia="ja-JP"/>
        </w:rPr>
        <w:t>T_</w:t>
      </w:r>
      <w:proofErr w:type="gramStart"/>
      <w:r w:rsidR="00AE4F5A" w:rsidRPr="009F2042">
        <w:rPr>
          <w:rFonts w:cs="Arial"/>
          <w:lang w:eastAsia="ja-JP"/>
        </w:rPr>
        <w:t>delta,index</w:t>
      </w:r>
      <w:proofErr w:type="spellEnd"/>
      <w:proofErr w:type="gramEnd"/>
      <w:r w:rsidR="00AE4F5A" w:rsidRPr="009F2042">
        <w:rPr>
          <w:rFonts w:cs="Arial"/>
          <w:lang w:eastAsia="ja-JP"/>
        </w:rPr>
        <w:t xml:space="preserve"> is given in </w:t>
      </w:r>
      <w:r w:rsidR="00244060" w:rsidRPr="009F2042">
        <w:rPr>
          <w:rFonts w:cs="Arial"/>
          <w:lang w:eastAsia="ja-JP"/>
        </w:rPr>
        <w:fldChar w:fldCharType="begin"/>
      </w:r>
      <w:r w:rsidR="00244060">
        <w:rPr>
          <w:rFonts w:cs="Arial"/>
          <w:lang w:val="en-GB" w:eastAsia="ja-JP"/>
        </w:rPr>
        <w:instrText xml:space="preserve"> REF _Ref79015341 \w \h </w:instrText>
      </w:r>
      <w:r w:rsidR="00986820">
        <w:rPr>
          <w:rFonts w:cs="Arial"/>
          <w:lang w:val="en-GB" w:eastAsia="ja-JP"/>
        </w:rPr>
        <w:instrText xml:space="preserve"> \* MERGEFORMAT </w:instrText>
      </w:r>
      <w:r w:rsidR="00244060" w:rsidRPr="009F2042">
        <w:rPr>
          <w:rFonts w:cs="Arial"/>
          <w:lang w:eastAsia="ja-JP"/>
        </w:rPr>
      </w:r>
      <w:r w:rsidR="00244060" w:rsidRPr="009F2042">
        <w:rPr>
          <w:rFonts w:cs="Arial"/>
          <w:lang w:eastAsia="ja-JP"/>
        </w:rPr>
        <w:fldChar w:fldCharType="separate"/>
      </w:r>
      <w:r w:rsidR="00BC7F0D">
        <w:rPr>
          <w:rFonts w:cs="Arial"/>
          <w:lang w:val="en-GB" w:eastAsia="ja-JP"/>
        </w:rPr>
        <w:t>[7]</w:t>
      </w:r>
      <w:r w:rsidR="00244060" w:rsidRPr="009F2042">
        <w:rPr>
          <w:rFonts w:cs="Arial"/>
          <w:lang w:eastAsia="ja-JP"/>
        </w:rPr>
        <w:fldChar w:fldCharType="end"/>
      </w:r>
      <w:r w:rsidR="00AE4F5A" w:rsidRPr="009F2042">
        <w:rPr>
          <w:rFonts w:cs="Arial"/>
          <w:lang w:eastAsia="ja-JP"/>
        </w:rPr>
        <w:t>.</w:t>
      </w:r>
    </w:p>
    <w:p w14:paraId="1DB78A0C" w14:textId="436AD638" w:rsidR="00BA08C9" w:rsidRPr="009F2042" w:rsidRDefault="00AE4F5A" w:rsidP="005B1562">
      <w:pPr>
        <w:pStyle w:val="Caption"/>
        <w:jc w:val="center"/>
        <w:rPr>
          <w:lang w:eastAsia="ja-JP"/>
        </w:rPr>
      </w:pPr>
      <w:bookmarkStart w:id="7" w:name="_Ref78974749"/>
      <w:r w:rsidRPr="009F2042">
        <w:t xml:space="preserve">Table </w:t>
      </w:r>
      <w:r w:rsidRPr="009F2042">
        <w:fldChar w:fldCharType="begin"/>
      </w:r>
      <w:r w:rsidRPr="009F2042">
        <w:instrText xml:space="preserve"> SEQ Table \* ARABIC </w:instrText>
      </w:r>
      <w:r w:rsidRPr="009F2042">
        <w:fldChar w:fldCharType="separate"/>
      </w:r>
      <w:r w:rsidR="00BC7F0D">
        <w:rPr>
          <w:noProof/>
        </w:rPr>
        <w:t>1</w:t>
      </w:r>
      <w:r w:rsidRPr="009F2042">
        <w:fldChar w:fldCharType="end"/>
      </w:r>
      <w:bookmarkEnd w:id="7"/>
      <w:r w:rsidRPr="009F2042">
        <w:t xml:space="preserve">: Range of </w:t>
      </w:r>
      <w:proofErr w:type="spellStart"/>
      <w:r w:rsidRPr="009F2042">
        <w:t>T_delta_index</w:t>
      </w:r>
      <w:proofErr w:type="spellEnd"/>
      <w:r w:rsidRPr="009F2042">
        <w:t xml:space="preserve"> (MAC CE) for Case-1 timing</w:t>
      </w:r>
      <w:r w:rsidR="001344EF" w:rsidRPr="009F204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1390"/>
        <w:gridCol w:w="1427"/>
      </w:tblGrid>
      <w:tr w:rsidR="00BA08C9" w:rsidRPr="009F2042" w14:paraId="06E114F4" w14:textId="77777777" w:rsidTr="005317D8">
        <w:trPr>
          <w:jc w:val="center"/>
        </w:trPr>
        <w:tc>
          <w:tcPr>
            <w:tcW w:w="0" w:type="auto"/>
            <w:shd w:val="clear" w:color="auto" w:fill="auto"/>
          </w:tcPr>
          <w:p w14:paraId="10C8DEA8" w14:textId="77777777" w:rsidR="00BA08C9" w:rsidRPr="009F2042" w:rsidRDefault="00BA08C9" w:rsidP="00ED6838">
            <w:pPr>
              <w:spacing w:after="0" w:line="240" w:lineRule="auto"/>
              <w:jc w:val="both"/>
              <w:rPr>
                <w:rFonts w:ascii="Calibri" w:hAnsi="Calibri" w:cs="Calibri"/>
                <w:sz w:val="24"/>
                <w:szCs w:val="24"/>
              </w:rPr>
            </w:pPr>
            <w:r w:rsidRPr="009F2042">
              <w:rPr>
                <w:rFonts w:ascii="Calibri" w:hAnsi="Calibri" w:cs="Calibri"/>
                <w:sz w:val="24"/>
                <w:szCs w:val="24"/>
              </w:rPr>
              <w:t>SCS [kHz]</w:t>
            </w:r>
          </w:p>
        </w:tc>
        <w:tc>
          <w:tcPr>
            <w:tcW w:w="0" w:type="auto"/>
            <w:shd w:val="clear" w:color="auto" w:fill="auto"/>
          </w:tcPr>
          <w:p w14:paraId="0512901A" w14:textId="77777777" w:rsidR="00BA08C9" w:rsidRPr="009F2042" w:rsidRDefault="00BA08C9" w:rsidP="00ED6838">
            <w:pPr>
              <w:spacing w:after="0" w:line="240" w:lineRule="auto"/>
              <w:jc w:val="both"/>
              <w:rPr>
                <w:rFonts w:ascii="Calibri" w:hAnsi="Calibri" w:cs="Calibri"/>
                <w:sz w:val="24"/>
                <w:szCs w:val="24"/>
              </w:rPr>
            </w:pPr>
            <w:r w:rsidRPr="009F2042">
              <w:rPr>
                <w:rFonts w:ascii="Calibri" w:hAnsi="Calibri" w:cs="Calibri"/>
                <w:sz w:val="24"/>
                <w:szCs w:val="24"/>
              </w:rPr>
              <w:t xml:space="preserve">Min </w:t>
            </w:r>
            <w:proofErr w:type="spellStart"/>
            <w:r w:rsidRPr="009F2042">
              <w:rPr>
                <w:rFonts w:ascii="Calibri" w:hAnsi="Calibri" w:cs="Calibri"/>
                <w:sz w:val="24"/>
                <w:szCs w:val="24"/>
              </w:rPr>
              <w:t>T_delta</w:t>
            </w:r>
            <w:proofErr w:type="spellEnd"/>
          </w:p>
        </w:tc>
        <w:tc>
          <w:tcPr>
            <w:tcW w:w="0" w:type="auto"/>
            <w:shd w:val="clear" w:color="auto" w:fill="auto"/>
          </w:tcPr>
          <w:p w14:paraId="342EEA59" w14:textId="77777777" w:rsidR="00BA08C9" w:rsidRPr="009F2042" w:rsidRDefault="00BA08C9" w:rsidP="00ED6838">
            <w:pPr>
              <w:spacing w:after="0" w:line="240" w:lineRule="auto"/>
              <w:jc w:val="both"/>
              <w:rPr>
                <w:rFonts w:ascii="Calibri" w:hAnsi="Calibri" w:cs="Calibri"/>
                <w:sz w:val="24"/>
                <w:szCs w:val="24"/>
              </w:rPr>
            </w:pPr>
            <w:r w:rsidRPr="009F2042">
              <w:rPr>
                <w:rFonts w:ascii="Calibri" w:hAnsi="Calibri" w:cs="Calibri"/>
                <w:sz w:val="24"/>
                <w:szCs w:val="24"/>
              </w:rPr>
              <w:t xml:space="preserve">Max </w:t>
            </w:r>
            <w:proofErr w:type="spellStart"/>
            <w:r w:rsidRPr="009F2042">
              <w:rPr>
                <w:rFonts w:ascii="Calibri" w:hAnsi="Calibri" w:cs="Calibri"/>
                <w:sz w:val="24"/>
                <w:szCs w:val="24"/>
              </w:rPr>
              <w:t>T_delta</w:t>
            </w:r>
            <w:proofErr w:type="spellEnd"/>
          </w:p>
        </w:tc>
      </w:tr>
      <w:tr w:rsidR="00BA08C9" w:rsidRPr="009F2042" w14:paraId="3BD5DEB6" w14:textId="77777777" w:rsidTr="005317D8">
        <w:trPr>
          <w:jc w:val="center"/>
        </w:trPr>
        <w:tc>
          <w:tcPr>
            <w:tcW w:w="0" w:type="auto"/>
            <w:shd w:val="clear" w:color="auto" w:fill="auto"/>
          </w:tcPr>
          <w:p w14:paraId="03ED8619" w14:textId="77777777" w:rsidR="00BA08C9" w:rsidRPr="009F2042" w:rsidRDefault="00BA08C9" w:rsidP="00ED6838">
            <w:pPr>
              <w:spacing w:after="0" w:line="240" w:lineRule="auto"/>
              <w:jc w:val="both"/>
              <w:rPr>
                <w:rFonts w:ascii="Calibri" w:hAnsi="Calibri" w:cs="Calibri"/>
                <w:sz w:val="24"/>
                <w:szCs w:val="24"/>
              </w:rPr>
            </w:pPr>
            <w:r w:rsidRPr="009F2042">
              <w:rPr>
                <w:rFonts w:ascii="Calibri" w:hAnsi="Calibri" w:cs="Calibri"/>
                <w:sz w:val="24"/>
                <w:szCs w:val="24"/>
              </w:rPr>
              <w:t>15</w:t>
            </w:r>
          </w:p>
        </w:tc>
        <w:tc>
          <w:tcPr>
            <w:tcW w:w="0" w:type="auto"/>
            <w:shd w:val="clear" w:color="auto" w:fill="auto"/>
            <w:vAlign w:val="bottom"/>
          </w:tcPr>
          <w:p w14:paraId="4A3E1C10" w14:textId="77777777" w:rsidR="00BA08C9" w:rsidRPr="009F2042" w:rsidDel="00B37B10" w:rsidRDefault="00BA08C9" w:rsidP="00ED6838">
            <w:pPr>
              <w:spacing w:after="0" w:line="240" w:lineRule="auto"/>
              <w:jc w:val="both"/>
              <w:rPr>
                <w:rFonts w:ascii="Calibri" w:hAnsi="Calibri" w:cs="Calibri"/>
                <w:color w:val="000000"/>
                <w:sz w:val="24"/>
                <w:szCs w:val="24"/>
              </w:rPr>
            </w:pPr>
            <w:r w:rsidRPr="009F2042">
              <w:rPr>
                <w:rFonts w:ascii="Calibri" w:hAnsi="Calibri" w:cs="Calibri"/>
                <w:color w:val="000000"/>
                <w:sz w:val="24"/>
                <w:szCs w:val="24"/>
              </w:rPr>
              <w:t>0</w:t>
            </w:r>
          </w:p>
        </w:tc>
        <w:tc>
          <w:tcPr>
            <w:tcW w:w="0" w:type="auto"/>
            <w:shd w:val="clear" w:color="auto" w:fill="auto"/>
          </w:tcPr>
          <w:p w14:paraId="4BC76761" w14:textId="77777777" w:rsidR="00BA08C9" w:rsidRPr="009F2042" w:rsidRDefault="00BA08C9" w:rsidP="00ED6838">
            <w:pPr>
              <w:spacing w:after="0" w:line="240" w:lineRule="auto"/>
              <w:jc w:val="both"/>
              <w:rPr>
                <w:rFonts w:ascii="Calibri" w:hAnsi="Calibri" w:cs="Calibri"/>
                <w:sz w:val="24"/>
                <w:szCs w:val="24"/>
              </w:rPr>
            </w:pPr>
            <w:r w:rsidRPr="009F2042">
              <w:rPr>
                <w:rFonts w:ascii="Calibri" w:hAnsi="Calibri" w:cs="Calibri"/>
                <w:color w:val="000000"/>
                <w:sz w:val="24"/>
                <w:szCs w:val="24"/>
              </w:rPr>
              <w:t>1199</w:t>
            </w:r>
          </w:p>
        </w:tc>
      </w:tr>
      <w:tr w:rsidR="00BA08C9" w:rsidRPr="009F2042" w14:paraId="6BC65D17" w14:textId="77777777" w:rsidTr="005317D8">
        <w:trPr>
          <w:jc w:val="center"/>
        </w:trPr>
        <w:tc>
          <w:tcPr>
            <w:tcW w:w="0" w:type="auto"/>
            <w:shd w:val="clear" w:color="auto" w:fill="auto"/>
          </w:tcPr>
          <w:p w14:paraId="16CDCA3B" w14:textId="77777777" w:rsidR="00BA08C9" w:rsidRPr="009F2042" w:rsidRDefault="00BA08C9" w:rsidP="00ED6838">
            <w:pPr>
              <w:spacing w:after="0" w:line="240" w:lineRule="auto"/>
              <w:jc w:val="both"/>
              <w:rPr>
                <w:rFonts w:ascii="Calibri" w:hAnsi="Calibri" w:cs="Calibri"/>
                <w:sz w:val="24"/>
                <w:szCs w:val="24"/>
              </w:rPr>
            </w:pPr>
            <w:r w:rsidRPr="009F2042">
              <w:rPr>
                <w:rFonts w:ascii="Calibri" w:hAnsi="Calibri" w:cs="Calibri"/>
                <w:sz w:val="24"/>
                <w:szCs w:val="24"/>
              </w:rPr>
              <w:t>30</w:t>
            </w:r>
          </w:p>
        </w:tc>
        <w:tc>
          <w:tcPr>
            <w:tcW w:w="0" w:type="auto"/>
            <w:shd w:val="clear" w:color="auto" w:fill="auto"/>
            <w:vAlign w:val="bottom"/>
          </w:tcPr>
          <w:p w14:paraId="6FD3F24D" w14:textId="77777777" w:rsidR="00BA08C9" w:rsidRPr="009F2042" w:rsidDel="00F94ED9" w:rsidRDefault="00BA08C9" w:rsidP="00ED6838">
            <w:pPr>
              <w:spacing w:after="0" w:line="240" w:lineRule="auto"/>
              <w:jc w:val="both"/>
              <w:rPr>
                <w:rFonts w:ascii="Calibri" w:hAnsi="Calibri" w:cs="Calibri"/>
                <w:sz w:val="24"/>
                <w:szCs w:val="24"/>
              </w:rPr>
            </w:pPr>
            <w:r w:rsidRPr="009F2042">
              <w:rPr>
                <w:rFonts w:ascii="Calibri" w:hAnsi="Calibri" w:cs="Calibri"/>
                <w:sz w:val="24"/>
                <w:szCs w:val="24"/>
              </w:rPr>
              <w:t>550</w:t>
            </w:r>
          </w:p>
        </w:tc>
        <w:tc>
          <w:tcPr>
            <w:tcW w:w="0" w:type="auto"/>
            <w:shd w:val="clear" w:color="auto" w:fill="auto"/>
          </w:tcPr>
          <w:p w14:paraId="31036F02" w14:textId="77777777" w:rsidR="00BA08C9" w:rsidRPr="009F2042" w:rsidRDefault="00BA08C9" w:rsidP="00ED6838">
            <w:pPr>
              <w:spacing w:after="0" w:line="240" w:lineRule="auto"/>
              <w:jc w:val="both"/>
              <w:rPr>
                <w:rFonts w:ascii="Calibri" w:hAnsi="Calibri" w:cs="Calibri"/>
                <w:sz w:val="24"/>
                <w:szCs w:val="24"/>
              </w:rPr>
            </w:pPr>
            <w:r w:rsidRPr="009F2042">
              <w:rPr>
                <w:rFonts w:ascii="Calibri" w:hAnsi="Calibri" w:cs="Calibri"/>
                <w:color w:val="000000"/>
                <w:sz w:val="24"/>
                <w:szCs w:val="24"/>
              </w:rPr>
              <w:t>1197</w:t>
            </w:r>
          </w:p>
        </w:tc>
      </w:tr>
      <w:tr w:rsidR="00BA08C9" w:rsidRPr="009F2042" w14:paraId="10B408A5" w14:textId="77777777" w:rsidTr="005317D8">
        <w:trPr>
          <w:jc w:val="center"/>
        </w:trPr>
        <w:tc>
          <w:tcPr>
            <w:tcW w:w="0" w:type="auto"/>
            <w:shd w:val="clear" w:color="auto" w:fill="auto"/>
          </w:tcPr>
          <w:p w14:paraId="33EE327E" w14:textId="77777777" w:rsidR="00BA08C9" w:rsidRPr="009F2042" w:rsidRDefault="00BA08C9" w:rsidP="00ED6838">
            <w:pPr>
              <w:spacing w:after="0" w:line="240" w:lineRule="auto"/>
              <w:jc w:val="both"/>
              <w:rPr>
                <w:rFonts w:ascii="Calibri" w:hAnsi="Calibri" w:cs="Calibri"/>
                <w:sz w:val="24"/>
                <w:szCs w:val="24"/>
              </w:rPr>
            </w:pPr>
            <w:r w:rsidRPr="009F2042">
              <w:rPr>
                <w:rFonts w:ascii="Calibri" w:hAnsi="Calibri" w:cs="Calibri"/>
                <w:sz w:val="24"/>
                <w:szCs w:val="24"/>
              </w:rPr>
              <w:t>60</w:t>
            </w:r>
          </w:p>
        </w:tc>
        <w:tc>
          <w:tcPr>
            <w:tcW w:w="0" w:type="auto"/>
            <w:shd w:val="clear" w:color="auto" w:fill="auto"/>
            <w:vAlign w:val="bottom"/>
          </w:tcPr>
          <w:p w14:paraId="5413DE6B" w14:textId="77777777" w:rsidR="00BA08C9" w:rsidRPr="009F2042" w:rsidDel="00F94ED9" w:rsidRDefault="00BA08C9" w:rsidP="00ED6838">
            <w:pPr>
              <w:spacing w:after="0" w:line="240" w:lineRule="auto"/>
              <w:jc w:val="both"/>
              <w:rPr>
                <w:rFonts w:ascii="Calibri" w:hAnsi="Calibri" w:cs="Calibri"/>
                <w:sz w:val="24"/>
                <w:szCs w:val="24"/>
              </w:rPr>
            </w:pPr>
            <w:r w:rsidRPr="009F2042">
              <w:rPr>
                <w:rFonts w:ascii="Calibri" w:hAnsi="Calibri" w:cs="Calibri"/>
                <w:color w:val="000000"/>
                <w:sz w:val="24"/>
                <w:szCs w:val="24"/>
              </w:rPr>
              <w:t>0</w:t>
            </w:r>
          </w:p>
        </w:tc>
        <w:tc>
          <w:tcPr>
            <w:tcW w:w="0" w:type="auto"/>
            <w:shd w:val="clear" w:color="auto" w:fill="auto"/>
          </w:tcPr>
          <w:p w14:paraId="19489620" w14:textId="77777777" w:rsidR="00BA08C9" w:rsidRPr="009F2042" w:rsidRDefault="00BA08C9" w:rsidP="00ED6838">
            <w:pPr>
              <w:spacing w:after="0" w:line="240" w:lineRule="auto"/>
              <w:jc w:val="both"/>
              <w:rPr>
                <w:rFonts w:ascii="Calibri" w:hAnsi="Calibri" w:cs="Calibri"/>
                <w:sz w:val="24"/>
                <w:szCs w:val="24"/>
              </w:rPr>
            </w:pPr>
            <w:r w:rsidRPr="009F2042">
              <w:rPr>
                <w:rFonts w:ascii="Calibri" w:hAnsi="Calibri" w:cs="Calibri"/>
                <w:color w:val="000000"/>
                <w:sz w:val="24"/>
                <w:szCs w:val="24"/>
              </w:rPr>
              <w:t>740</w:t>
            </w:r>
          </w:p>
        </w:tc>
      </w:tr>
      <w:tr w:rsidR="00BA08C9" w:rsidRPr="009F2042" w14:paraId="4B1CF5C0" w14:textId="77777777" w:rsidTr="005317D8">
        <w:trPr>
          <w:jc w:val="center"/>
        </w:trPr>
        <w:tc>
          <w:tcPr>
            <w:tcW w:w="0" w:type="auto"/>
            <w:shd w:val="clear" w:color="auto" w:fill="auto"/>
          </w:tcPr>
          <w:p w14:paraId="65BC4C33" w14:textId="77777777" w:rsidR="00BA08C9" w:rsidRPr="009F2042" w:rsidRDefault="00BA08C9" w:rsidP="00ED6838">
            <w:pPr>
              <w:spacing w:after="0" w:line="240" w:lineRule="auto"/>
              <w:jc w:val="both"/>
              <w:rPr>
                <w:rFonts w:ascii="Calibri" w:hAnsi="Calibri" w:cs="Calibri"/>
                <w:sz w:val="24"/>
                <w:szCs w:val="24"/>
              </w:rPr>
            </w:pPr>
            <w:r w:rsidRPr="009F2042">
              <w:rPr>
                <w:rFonts w:ascii="Calibri" w:hAnsi="Calibri" w:cs="Calibri"/>
                <w:sz w:val="24"/>
                <w:szCs w:val="24"/>
              </w:rPr>
              <w:t>120</w:t>
            </w:r>
          </w:p>
        </w:tc>
        <w:tc>
          <w:tcPr>
            <w:tcW w:w="0" w:type="auto"/>
            <w:shd w:val="clear" w:color="auto" w:fill="auto"/>
            <w:vAlign w:val="bottom"/>
          </w:tcPr>
          <w:p w14:paraId="03C42B74" w14:textId="77777777" w:rsidR="00BA08C9" w:rsidRPr="009F2042" w:rsidDel="00F94ED9" w:rsidRDefault="00BA08C9" w:rsidP="00ED6838">
            <w:pPr>
              <w:spacing w:after="0" w:line="240" w:lineRule="auto"/>
              <w:jc w:val="both"/>
              <w:rPr>
                <w:rFonts w:ascii="Calibri" w:hAnsi="Calibri" w:cs="Calibri"/>
                <w:sz w:val="24"/>
                <w:szCs w:val="24"/>
              </w:rPr>
            </w:pPr>
            <w:r w:rsidRPr="009F2042">
              <w:rPr>
                <w:rFonts w:ascii="Calibri" w:hAnsi="Calibri" w:cs="Calibri"/>
                <w:color w:val="000000"/>
                <w:sz w:val="24"/>
                <w:szCs w:val="24"/>
              </w:rPr>
              <w:t>276</w:t>
            </w:r>
          </w:p>
        </w:tc>
        <w:tc>
          <w:tcPr>
            <w:tcW w:w="0" w:type="auto"/>
            <w:shd w:val="clear" w:color="auto" w:fill="auto"/>
          </w:tcPr>
          <w:p w14:paraId="17C3BC56" w14:textId="77777777" w:rsidR="00BA08C9" w:rsidRPr="009F2042" w:rsidRDefault="00BA08C9" w:rsidP="00ED6838">
            <w:pPr>
              <w:spacing w:after="0" w:line="240" w:lineRule="auto"/>
              <w:jc w:val="both"/>
              <w:rPr>
                <w:rFonts w:ascii="Calibri" w:hAnsi="Calibri" w:cs="Calibri"/>
                <w:sz w:val="24"/>
                <w:szCs w:val="24"/>
              </w:rPr>
            </w:pPr>
            <w:r w:rsidRPr="009F2042">
              <w:rPr>
                <w:rFonts w:ascii="Calibri" w:hAnsi="Calibri" w:cs="Calibri"/>
                <w:color w:val="000000"/>
                <w:sz w:val="24"/>
                <w:szCs w:val="24"/>
              </w:rPr>
              <w:t>740</w:t>
            </w:r>
          </w:p>
        </w:tc>
      </w:tr>
    </w:tbl>
    <w:p w14:paraId="6495A5E6" w14:textId="60094C67" w:rsidR="00BA08C9" w:rsidRPr="009F2042" w:rsidRDefault="00BA08C9" w:rsidP="00ED6838">
      <w:pPr>
        <w:jc w:val="both"/>
        <w:rPr>
          <w:lang w:eastAsia="ja-JP"/>
        </w:rPr>
      </w:pPr>
    </w:p>
    <w:p w14:paraId="3B3658B5" w14:textId="4F086174" w:rsidR="00066F2B" w:rsidRPr="009F2042" w:rsidRDefault="00066F2B" w:rsidP="00ED6838">
      <w:pPr>
        <w:jc w:val="both"/>
        <w:rPr>
          <w:lang w:eastAsia="ja-JP"/>
        </w:rPr>
      </w:pPr>
      <w:r w:rsidRPr="009F2042">
        <w:rPr>
          <w:lang w:eastAsia="ja-JP"/>
        </w:rPr>
        <w:t xml:space="preserve">In RAN1 specification, there is no limitation on </w:t>
      </w:r>
      <w:proofErr w:type="spellStart"/>
      <w:r w:rsidRPr="009F2042">
        <w:rPr>
          <w:lang w:eastAsia="ja-JP"/>
        </w:rPr>
        <w:t>T_</w:t>
      </w:r>
      <w:proofErr w:type="gramStart"/>
      <w:r w:rsidRPr="009F2042">
        <w:rPr>
          <w:lang w:eastAsia="ja-JP"/>
        </w:rPr>
        <w:t>delta,index</w:t>
      </w:r>
      <w:proofErr w:type="spellEnd"/>
      <w:proofErr w:type="gramEnd"/>
      <w:r w:rsidRPr="009F2042">
        <w:rPr>
          <w:lang w:eastAsia="ja-JP"/>
        </w:rPr>
        <w:t>. The only reference to a limited index range is stated in TS 38.321</w:t>
      </w:r>
      <w:r w:rsidR="00722625" w:rsidRPr="009F2042">
        <w:rPr>
          <w:lang w:eastAsia="ja-JP"/>
        </w:rPr>
        <w:t xml:space="preserve"> </w:t>
      </w:r>
      <w:r w:rsidR="00722625" w:rsidRPr="009F2042">
        <w:rPr>
          <w:lang w:eastAsia="ja-JP"/>
        </w:rPr>
        <w:fldChar w:fldCharType="begin"/>
      </w:r>
      <w:r w:rsidR="00722625" w:rsidRPr="009F2042">
        <w:rPr>
          <w:lang w:eastAsia="ja-JP"/>
        </w:rPr>
        <w:instrText xml:space="preserve"> REF _Ref79142183 \w \h </w:instrText>
      </w:r>
      <w:r w:rsidR="00986820" w:rsidRPr="009F2042">
        <w:rPr>
          <w:lang w:eastAsia="ja-JP"/>
        </w:rPr>
        <w:instrText xml:space="preserve"> \* MERGEFORMAT </w:instrText>
      </w:r>
      <w:r w:rsidR="00722625" w:rsidRPr="009F2042">
        <w:rPr>
          <w:lang w:eastAsia="ja-JP"/>
        </w:rPr>
      </w:r>
      <w:r w:rsidR="00722625" w:rsidRPr="009F2042">
        <w:rPr>
          <w:lang w:eastAsia="ja-JP"/>
        </w:rPr>
        <w:fldChar w:fldCharType="separate"/>
      </w:r>
      <w:r w:rsidR="00BC7F0D">
        <w:rPr>
          <w:lang w:eastAsia="ja-JP"/>
        </w:rPr>
        <w:t>[10]</w:t>
      </w:r>
      <w:r w:rsidR="00722625" w:rsidRPr="009F2042">
        <w:rPr>
          <w:lang w:eastAsia="ja-JP"/>
        </w:rPr>
        <w:fldChar w:fldCharType="end"/>
      </w:r>
      <w:r w:rsidR="00722625" w:rsidRPr="009F2042">
        <w:rPr>
          <w:lang w:eastAsia="ja-JP"/>
        </w:rPr>
        <w:t>,</w:t>
      </w:r>
      <w:r w:rsidRPr="009F2042">
        <w:rPr>
          <w:lang w:eastAsia="ja-JP"/>
        </w:rPr>
        <w:t xml:space="preserve"> where the </w:t>
      </w:r>
      <w:proofErr w:type="spellStart"/>
      <w:r w:rsidRPr="009F2042">
        <w:rPr>
          <w:lang w:eastAsia="ja-JP"/>
        </w:rPr>
        <w:t>T_</w:t>
      </w:r>
      <w:proofErr w:type="gramStart"/>
      <w:r w:rsidRPr="009F2042">
        <w:rPr>
          <w:lang w:eastAsia="ja-JP"/>
        </w:rPr>
        <w:t>delta,index</w:t>
      </w:r>
      <w:proofErr w:type="spellEnd"/>
      <w:proofErr w:type="gramEnd"/>
      <w:r w:rsidRPr="009F2042">
        <w:rPr>
          <w:lang w:eastAsia="ja-JP"/>
        </w:rPr>
        <w:t xml:space="preserve"> range is (0…1199).</w:t>
      </w:r>
    </w:p>
    <w:p w14:paraId="2EF5DE7D" w14:textId="17E5076C" w:rsidR="00066F2B" w:rsidRPr="009F2042" w:rsidRDefault="00211E6F" w:rsidP="00ED6838">
      <w:pPr>
        <w:pStyle w:val="Observation"/>
      </w:pPr>
      <w:bookmarkStart w:id="8" w:name="_Toc79180098"/>
      <w:r w:rsidRPr="009F2042">
        <w:t xml:space="preserve">Presently, </w:t>
      </w:r>
      <w:proofErr w:type="spellStart"/>
      <w:r w:rsidR="00066F2B" w:rsidRPr="009F2042">
        <w:t>T_</w:t>
      </w:r>
      <w:proofErr w:type="gramStart"/>
      <w:r w:rsidR="00066F2B" w:rsidRPr="009F2042">
        <w:t>delta,index</w:t>
      </w:r>
      <w:proofErr w:type="spellEnd"/>
      <w:proofErr w:type="gramEnd"/>
      <w:r w:rsidR="00066F2B" w:rsidRPr="009F2042">
        <w:t xml:space="preserve"> is unspecified for values beyond 1199.</w:t>
      </w:r>
      <w:bookmarkEnd w:id="8"/>
    </w:p>
    <w:p w14:paraId="296526DF" w14:textId="5CFC15D6" w:rsidR="00066F2B" w:rsidRPr="009F2042" w:rsidRDefault="006160E1" w:rsidP="00ED6838">
      <w:pPr>
        <w:jc w:val="both"/>
        <w:rPr>
          <w:lang w:eastAsia="ja-JP"/>
        </w:rPr>
      </w:pPr>
      <w:r w:rsidRPr="009F2042">
        <w:rPr>
          <w:lang w:eastAsia="ja-JP"/>
        </w:rPr>
        <w:t xml:space="preserve">The </w:t>
      </w:r>
      <w:r w:rsidR="00066F2B" w:rsidRPr="009F2042">
        <w:rPr>
          <w:lang w:eastAsia="ja-JP"/>
        </w:rPr>
        <w:t xml:space="preserve">RAN4 recommendations only considered Case-1 timing configuration when the parent IAB-node’s UL reception timing is strictly advanced relative to the DL transmission timing. </w:t>
      </w:r>
      <w:r w:rsidR="0022687B" w:rsidRPr="009F2042">
        <w:rPr>
          <w:lang w:eastAsia="ja-JP"/>
        </w:rPr>
        <w:t>It</w:t>
      </w:r>
      <w:r w:rsidR="00066F2B" w:rsidRPr="009F2042">
        <w:rPr>
          <w:lang w:eastAsia="ja-JP"/>
        </w:rPr>
        <w:t xml:space="preserve"> d</w:t>
      </w:r>
      <w:r w:rsidR="0022687B" w:rsidRPr="009F2042">
        <w:rPr>
          <w:lang w:eastAsia="ja-JP"/>
        </w:rPr>
        <w:t>oes</w:t>
      </w:r>
      <w:r w:rsidR="00066F2B" w:rsidRPr="009F2042">
        <w:rPr>
          <w:lang w:eastAsia="ja-JP"/>
        </w:rPr>
        <w:t xml:space="preserve"> not cover </w:t>
      </w:r>
      <w:r w:rsidR="0022687B" w:rsidRPr="009F2042">
        <w:rPr>
          <w:lang w:eastAsia="ja-JP"/>
        </w:rPr>
        <w:t xml:space="preserve">the case of </w:t>
      </w:r>
      <w:r w:rsidR="00066F2B" w:rsidRPr="009F2042">
        <w:rPr>
          <w:lang w:eastAsia="ja-JP"/>
        </w:rPr>
        <w:t>a</w:t>
      </w:r>
      <w:r w:rsidR="0022687B" w:rsidRPr="009F2042">
        <w:rPr>
          <w:lang w:eastAsia="ja-JP"/>
        </w:rPr>
        <w:t xml:space="preserve"> parent</w:t>
      </w:r>
      <w:r w:rsidR="00066F2B" w:rsidRPr="009F2042">
        <w:rPr>
          <w:lang w:eastAsia="ja-JP"/>
        </w:rPr>
        <w:t xml:space="preserve"> IAB-node’s UL reception timing being </w:t>
      </w:r>
      <w:r w:rsidR="001E603B" w:rsidRPr="009F2042">
        <w:rPr>
          <w:lang w:eastAsia="ja-JP"/>
        </w:rPr>
        <w:t>delayed relative</w:t>
      </w:r>
      <w:r w:rsidR="00066F2B" w:rsidRPr="009F2042">
        <w:rPr>
          <w:lang w:eastAsia="ja-JP"/>
        </w:rPr>
        <w:t xml:space="preserve"> its DL transmission timing. </w:t>
      </w:r>
      <w:r w:rsidR="001E603B" w:rsidRPr="009F2042">
        <w:rPr>
          <w:lang w:eastAsia="ja-JP"/>
        </w:rPr>
        <w:t>Hence,</w:t>
      </w:r>
      <w:r w:rsidR="00066F2B" w:rsidRPr="009F2042">
        <w:rPr>
          <w:lang w:eastAsia="ja-JP"/>
        </w:rPr>
        <w:t xml:space="preserve"> it is natural that the limits indicated in </w:t>
      </w:r>
      <w:r w:rsidR="0022687B" w:rsidRPr="009F2042">
        <w:rPr>
          <w:lang w:eastAsia="ja-JP"/>
        </w:rPr>
        <w:fldChar w:fldCharType="begin"/>
      </w:r>
      <w:r w:rsidR="0022687B" w:rsidRPr="009F2042">
        <w:rPr>
          <w:lang w:eastAsia="ja-JP"/>
        </w:rPr>
        <w:instrText xml:space="preserve"> REF _Ref78974749 \h </w:instrText>
      </w:r>
      <w:r w:rsidR="00986820" w:rsidRPr="009F2042">
        <w:rPr>
          <w:lang w:eastAsia="ja-JP"/>
        </w:rPr>
        <w:instrText xml:space="preserve"> \* MERGEFORMAT </w:instrText>
      </w:r>
      <w:r w:rsidR="0022687B" w:rsidRPr="009F2042">
        <w:rPr>
          <w:lang w:eastAsia="ja-JP"/>
        </w:rPr>
      </w:r>
      <w:r w:rsidR="0022687B" w:rsidRPr="009F2042">
        <w:rPr>
          <w:lang w:eastAsia="ja-JP"/>
        </w:rPr>
        <w:fldChar w:fldCharType="separate"/>
      </w:r>
      <w:r w:rsidR="00BC7F0D" w:rsidRPr="009F2042">
        <w:t xml:space="preserve">Table </w:t>
      </w:r>
      <w:r w:rsidR="00BC7F0D">
        <w:rPr>
          <w:noProof/>
        </w:rPr>
        <w:t>1</w:t>
      </w:r>
      <w:r w:rsidR="0022687B" w:rsidRPr="009F2042">
        <w:rPr>
          <w:lang w:eastAsia="ja-JP"/>
        </w:rPr>
        <w:fldChar w:fldCharType="end"/>
      </w:r>
      <w:r w:rsidR="00066F2B" w:rsidRPr="009F2042">
        <w:rPr>
          <w:lang w:eastAsia="ja-JP"/>
        </w:rPr>
        <w:t xml:space="preserve"> do not cover such scenarios and, therefore, a parent </w:t>
      </w:r>
      <w:r w:rsidR="0022687B" w:rsidRPr="009F2042">
        <w:rPr>
          <w:lang w:eastAsia="ja-JP"/>
        </w:rPr>
        <w:t>IAB-</w:t>
      </w:r>
      <w:r w:rsidR="00066F2B" w:rsidRPr="009F2042">
        <w:rPr>
          <w:lang w:eastAsia="ja-JP"/>
        </w:rPr>
        <w:t xml:space="preserve">node cannot </w:t>
      </w:r>
      <w:r w:rsidR="00FB0D18" w:rsidRPr="009F2042">
        <w:rPr>
          <w:lang w:eastAsia="ja-JP"/>
        </w:rPr>
        <w:t xml:space="preserve">immediately </w:t>
      </w:r>
      <w:r w:rsidR="00066F2B" w:rsidRPr="009F2042">
        <w:rPr>
          <w:lang w:eastAsia="ja-JP"/>
        </w:rPr>
        <w:t xml:space="preserve">use the existing </w:t>
      </w:r>
      <w:proofErr w:type="spellStart"/>
      <w:r w:rsidR="00066F2B" w:rsidRPr="009F2042">
        <w:rPr>
          <w:lang w:eastAsia="ja-JP"/>
        </w:rPr>
        <w:t>T_</w:t>
      </w:r>
      <w:proofErr w:type="gramStart"/>
      <w:r w:rsidR="00066F2B" w:rsidRPr="009F2042">
        <w:rPr>
          <w:lang w:eastAsia="ja-JP"/>
        </w:rPr>
        <w:t>delta,index</w:t>
      </w:r>
      <w:proofErr w:type="spellEnd"/>
      <w:proofErr w:type="gramEnd"/>
      <w:r w:rsidR="00066F2B" w:rsidRPr="009F2042">
        <w:rPr>
          <w:lang w:eastAsia="ja-JP"/>
        </w:rPr>
        <w:t xml:space="preserve"> based OTA sync, if an IAB-node is operating in Case-6 timing configuration. In the same way, an IAB-node operating in Case-7 timing configuration cannot </w:t>
      </w:r>
      <w:r w:rsidR="001F6249" w:rsidRPr="009F2042">
        <w:rPr>
          <w:lang w:eastAsia="ja-JP"/>
        </w:rPr>
        <w:t xml:space="preserve">provide </w:t>
      </w:r>
      <w:r w:rsidR="00066F2B" w:rsidRPr="009F2042">
        <w:rPr>
          <w:lang w:eastAsia="ja-JP"/>
        </w:rPr>
        <w:t xml:space="preserve">the existing </w:t>
      </w:r>
      <w:proofErr w:type="spellStart"/>
      <w:r w:rsidR="00066F2B" w:rsidRPr="009F2042">
        <w:rPr>
          <w:lang w:eastAsia="ja-JP"/>
        </w:rPr>
        <w:t>T_</w:t>
      </w:r>
      <w:proofErr w:type="gramStart"/>
      <w:r w:rsidR="00066F2B" w:rsidRPr="009F2042">
        <w:rPr>
          <w:lang w:eastAsia="ja-JP"/>
        </w:rPr>
        <w:t>delta,index</w:t>
      </w:r>
      <w:proofErr w:type="spellEnd"/>
      <w:proofErr w:type="gramEnd"/>
      <w:r w:rsidR="00066F2B" w:rsidRPr="009F2042">
        <w:rPr>
          <w:lang w:eastAsia="ja-JP"/>
        </w:rPr>
        <w:t xml:space="preserve"> based OTA sync towards its child-nodes.</w:t>
      </w:r>
    </w:p>
    <w:p w14:paraId="2890FB1A" w14:textId="24BD789B" w:rsidR="00066F2B" w:rsidRPr="009F2042" w:rsidRDefault="00066F2B" w:rsidP="00ED6838">
      <w:pPr>
        <w:pStyle w:val="Observation"/>
      </w:pPr>
      <w:bookmarkStart w:id="9" w:name="_Toc79180099"/>
      <w:r w:rsidRPr="009F2042">
        <w:lastRenderedPageBreak/>
        <w:t xml:space="preserve">The currently specified range for </w:t>
      </w:r>
      <w:proofErr w:type="spellStart"/>
      <w:r w:rsidRPr="009F2042">
        <w:t>T_</w:t>
      </w:r>
      <w:proofErr w:type="gramStart"/>
      <w:r w:rsidRPr="009F2042">
        <w:t>delta,index</w:t>
      </w:r>
      <w:proofErr w:type="spellEnd"/>
      <w:proofErr w:type="gramEnd"/>
      <w:r w:rsidRPr="009F2042">
        <w:t xml:space="preserve"> does not allow</w:t>
      </w:r>
      <w:r w:rsidR="00FB0D18" w:rsidRPr="009F2042">
        <w:t xml:space="preserve"> immediately</w:t>
      </w:r>
      <w:r w:rsidRPr="009F2042">
        <w:t xml:space="preserve"> indicating a UL Rx timing occurring later than a DL Tx timing.</w:t>
      </w:r>
      <w:bookmarkEnd w:id="9"/>
    </w:p>
    <w:p w14:paraId="5FC4E448" w14:textId="13C89C1E" w:rsidR="00AE4F5A" w:rsidRPr="009F2042" w:rsidRDefault="00066F2B" w:rsidP="00ED6838">
      <w:pPr>
        <w:pStyle w:val="Observation"/>
      </w:pPr>
      <w:bookmarkStart w:id="10" w:name="_Toc79180100"/>
      <w:r w:rsidRPr="009F2042">
        <w:t>Based on current specification</w:t>
      </w:r>
      <w:r w:rsidR="00D736FF" w:rsidRPr="009F2042">
        <w:t xml:space="preserve"> for the range of </w:t>
      </w:r>
      <w:proofErr w:type="spellStart"/>
      <w:r w:rsidRPr="009F2042">
        <w:t>T_</w:t>
      </w:r>
      <w:proofErr w:type="gramStart"/>
      <w:r w:rsidRPr="009F2042">
        <w:t>delta,index</w:t>
      </w:r>
      <w:proofErr w:type="spellEnd"/>
      <w:proofErr w:type="gramEnd"/>
      <w:r w:rsidR="00D736FF" w:rsidRPr="009F2042">
        <w:t>,</w:t>
      </w:r>
      <w:r w:rsidRPr="009F2042">
        <w:t xml:space="preserve"> OTA sync cannot </w:t>
      </w:r>
      <w:r w:rsidR="00FB0D18" w:rsidRPr="009F2042">
        <w:t xml:space="preserve">immediately </w:t>
      </w:r>
      <w:r w:rsidRPr="009F2042">
        <w:t>be used, if an IAB-node is operating in Case-6 or Case-7 timing configuration.</w:t>
      </w:r>
      <w:bookmarkEnd w:id="10"/>
    </w:p>
    <w:p w14:paraId="2158E71E" w14:textId="1219DB28" w:rsidR="00AE4F5A" w:rsidRPr="009F2042" w:rsidRDefault="00D736FF" w:rsidP="00ED6838">
      <w:pPr>
        <w:jc w:val="both"/>
        <w:rPr>
          <w:lang w:eastAsia="ja-JP"/>
        </w:rPr>
      </w:pPr>
      <w:r w:rsidRPr="009F2042">
        <w:rPr>
          <w:lang w:eastAsia="ja-JP"/>
        </w:rPr>
        <w:t>However, it should be emphasized that the principles used in Rel-16 OTA sync</w:t>
      </w:r>
      <w:r w:rsidR="005F4E13" w:rsidRPr="009F2042">
        <w:rPr>
          <w:lang w:eastAsia="ja-JP"/>
        </w:rPr>
        <w:t>hronization</w:t>
      </w:r>
      <w:r w:rsidRPr="009F2042">
        <w:rPr>
          <w:lang w:eastAsia="ja-JP"/>
        </w:rPr>
        <w:t xml:space="preserve"> for IAB-nodes are not limited to Case-1 timing, but they are also applicable </w:t>
      </w:r>
      <w:r w:rsidR="0089600F" w:rsidRPr="009F2042">
        <w:rPr>
          <w:lang w:eastAsia="ja-JP"/>
        </w:rPr>
        <w:t>for</w:t>
      </w:r>
      <w:r w:rsidRPr="009F2042">
        <w:rPr>
          <w:lang w:eastAsia="ja-JP"/>
        </w:rPr>
        <w:t xml:space="preserve"> any UL reception timing of a parent IAB-node.</w:t>
      </w:r>
    </w:p>
    <w:p w14:paraId="173168FC" w14:textId="6B4E60D3" w:rsidR="00D736FF" w:rsidRPr="009F2042" w:rsidRDefault="00D736FF" w:rsidP="00ED6838">
      <w:pPr>
        <w:pStyle w:val="Observation"/>
      </w:pPr>
      <w:bookmarkStart w:id="11" w:name="_Toc79180101"/>
      <w:r w:rsidRPr="009F2042">
        <w:t>The principles used in Rel-16 OTA sync for IAB-nodes are also applicable to any UL reception timing of a parent IAB-node, including the ones occurring in Case-6 and Case-7.</w:t>
      </w:r>
      <w:bookmarkEnd w:id="11"/>
    </w:p>
    <w:p w14:paraId="619B9DE4" w14:textId="384DB2C3" w:rsidR="00F63950" w:rsidRPr="009F2042" w:rsidRDefault="00D50AC7" w:rsidP="00ED6838">
      <w:pPr>
        <w:pStyle w:val="Heading2"/>
        <w:jc w:val="both"/>
        <w:rPr>
          <w:lang w:val="en-US"/>
        </w:rPr>
      </w:pPr>
      <w:r w:rsidRPr="009F2042">
        <w:rPr>
          <w:lang w:val="en-US"/>
        </w:rPr>
        <w:t>Case-6 timing</w:t>
      </w:r>
    </w:p>
    <w:p w14:paraId="2103ABF4" w14:textId="68450306" w:rsidR="003A3C1D" w:rsidRPr="009F2042" w:rsidRDefault="003A3C1D" w:rsidP="00ED6838">
      <w:pPr>
        <w:jc w:val="both"/>
        <w:rPr>
          <w:szCs w:val="20"/>
        </w:rPr>
      </w:pPr>
      <w:r w:rsidRPr="009F2042">
        <w:rPr>
          <w:szCs w:val="20"/>
        </w:rPr>
        <w:t xml:space="preserve">In RAN1 #105-e, it has been agreed to </w:t>
      </w:r>
      <w:r w:rsidR="00F6496B">
        <w:rPr>
          <w:szCs w:val="20"/>
        </w:rPr>
        <w:t>down-select</w:t>
      </w:r>
      <w:r w:rsidRPr="009F2042">
        <w:rPr>
          <w:szCs w:val="20"/>
        </w:rPr>
        <w:t xml:space="preserve"> </w:t>
      </w:r>
      <w:r w:rsidR="00222A69" w:rsidRPr="009F2042">
        <w:rPr>
          <w:szCs w:val="20"/>
        </w:rPr>
        <w:t xml:space="preserve">from three alternatives </w:t>
      </w:r>
      <w:r w:rsidRPr="009F2042">
        <w:rPr>
          <w:szCs w:val="20"/>
        </w:rPr>
        <w:t>how the IAB-MT Tx timing is set for Case 6 timing at a given IAB-node.</w:t>
      </w:r>
    </w:p>
    <w:p w14:paraId="03B545D2" w14:textId="4CC7E548" w:rsidR="003A3C1D" w:rsidRPr="009F2042" w:rsidRDefault="003A3C1D" w:rsidP="00ED6838">
      <w:pPr>
        <w:jc w:val="both"/>
      </w:pPr>
      <w:r w:rsidRPr="009F2042">
        <w:t>Two alternatives propose to introduce an offset to set the IAB-MT</w:t>
      </w:r>
      <w:r w:rsidR="00222A69" w:rsidRPr="009F2042">
        <w:t xml:space="preserve"> Tx timing</w:t>
      </w:r>
      <w:r w:rsidR="00CE74AF" w:rsidRPr="009F2042">
        <w:t>:</w:t>
      </w:r>
      <w:r w:rsidR="00222A69" w:rsidRPr="009F2042">
        <w:t xml:space="preserve"> either an offset in addition to the legacy TA control loop or an offset in addition to the </w:t>
      </w:r>
      <w:r w:rsidR="00222A69" w:rsidRPr="009F2042">
        <w:rPr>
          <w:szCs w:val="20"/>
        </w:rPr>
        <w:t>IAB-DU Tx timing determination</w:t>
      </w:r>
      <w:r w:rsidR="00C33192" w:rsidRPr="009F2042">
        <w:rPr>
          <w:szCs w:val="20"/>
        </w:rPr>
        <w:t>, Alt-</w:t>
      </w:r>
      <w:proofErr w:type="gramStart"/>
      <w:r w:rsidR="00C33192" w:rsidRPr="009F2042">
        <w:rPr>
          <w:szCs w:val="20"/>
        </w:rPr>
        <w:t>1</w:t>
      </w:r>
      <w:proofErr w:type="gramEnd"/>
      <w:r w:rsidR="00C33192" w:rsidRPr="009F2042">
        <w:rPr>
          <w:szCs w:val="20"/>
        </w:rPr>
        <w:t xml:space="preserve"> and Alt-3, respectively</w:t>
      </w:r>
      <w:r w:rsidR="00222A69" w:rsidRPr="009F2042">
        <w:rPr>
          <w:szCs w:val="20"/>
        </w:rPr>
        <w:t>.</w:t>
      </w:r>
      <w:r w:rsidR="00CE74AF" w:rsidRPr="009F2042">
        <w:t xml:space="preserve"> </w:t>
      </w:r>
      <w:r w:rsidR="00222A69" w:rsidRPr="009F2042">
        <w:t xml:space="preserve">One alternative proposes to set </w:t>
      </w:r>
      <w:r w:rsidR="00222A69" w:rsidRPr="009F2042">
        <w:rPr>
          <w:szCs w:val="20"/>
        </w:rPr>
        <w:t>the IAB-MT Tx timing by the IAB-node to the timing obtained for the node’s DL Tx timing</w:t>
      </w:r>
      <w:r w:rsidR="00C33192" w:rsidRPr="009F2042">
        <w:rPr>
          <w:szCs w:val="20"/>
        </w:rPr>
        <w:t>, Alt-2</w:t>
      </w:r>
      <w:r w:rsidR="00222A69" w:rsidRPr="009F2042">
        <w:rPr>
          <w:szCs w:val="20"/>
        </w:rPr>
        <w:t>.</w:t>
      </w:r>
    </w:p>
    <w:p w14:paraId="0CB9658D" w14:textId="7186F679" w:rsidR="00CE74AF" w:rsidRPr="009F2042" w:rsidRDefault="00CE74AF" w:rsidP="00ED6838">
      <w:pPr>
        <w:jc w:val="both"/>
      </w:pPr>
      <w:r w:rsidRPr="009F2042">
        <w:t xml:space="preserve">In </w:t>
      </w:r>
      <w:r w:rsidR="00BA63BB" w:rsidRPr="009F2042">
        <w:fldChar w:fldCharType="begin"/>
      </w:r>
      <w:r w:rsidR="00BA63BB" w:rsidRPr="009F2042">
        <w:instrText xml:space="preserve"> REF _Ref79142665 \w \h </w:instrText>
      </w:r>
      <w:r w:rsidR="00986820" w:rsidRPr="009F2042">
        <w:instrText xml:space="preserve"> \* MERGEFORMAT </w:instrText>
      </w:r>
      <w:r w:rsidR="00BA63BB" w:rsidRPr="009F2042">
        <w:fldChar w:fldCharType="separate"/>
      </w:r>
      <w:r w:rsidR="00BC7F0D">
        <w:t>[11]</w:t>
      </w:r>
      <w:r w:rsidR="00BA63BB" w:rsidRPr="009F2042">
        <w:fldChar w:fldCharType="end"/>
      </w:r>
      <w:r w:rsidRPr="009F2042">
        <w:t xml:space="preserve">, </w:t>
      </w:r>
      <w:r w:rsidR="004942A9" w:rsidRPr="009F2042">
        <w:t>it is</w:t>
      </w:r>
      <w:r w:rsidRPr="009F2042">
        <w:t xml:space="preserve"> show</w:t>
      </w:r>
      <w:r w:rsidR="004942A9" w:rsidRPr="009F2042">
        <w:t>n</w:t>
      </w:r>
      <w:r w:rsidRPr="009F2042">
        <w:t xml:space="preserve"> that by simply extending the range of </w:t>
      </w:r>
      <w:proofErr w:type="spellStart"/>
      <w:r w:rsidRPr="009F2042">
        <w:t>T_</w:t>
      </w:r>
      <w:proofErr w:type="gramStart"/>
      <w:r w:rsidRPr="009F2042">
        <w:t>delta,index</w:t>
      </w:r>
      <w:proofErr w:type="spellEnd"/>
      <w:proofErr w:type="gramEnd"/>
    </w:p>
    <w:p w14:paraId="21A06DDF" w14:textId="68CA0B90" w:rsidR="00CE74AF" w:rsidRPr="00C45FC0" w:rsidRDefault="00D81A4D" w:rsidP="00ED6838">
      <w:pPr>
        <w:pStyle w:val="ListParagraph"/>
        <w:numPr>
          <w:ilvl w:val="0"/>
          <w:numId w:val="36"/>
        </w:numPr>
        <w:jc w:val="both"/>
        <w:rPr>
          <w:rFonts w:ascii="Arial" w:hAnsi="Arial" w:cs="Arial"/>
          <w:sz w:val="20"/>
          <w:szCs w:val="20"/>
          <w:lang w:val="en-US"/>
        </w:rPr>
      </w:pPr>
      <w:r w:rsidRPr="00C45FC0">
        <w:rPr>
          <w:rFonts w:ascii="Arial" w:hAnsi="Arial" w:cs="Arial"/>
          <w:sz w:val="20"/>
          <w:szCs w:val="20"/>
          <w:lang w:val="en-US"/>
        </w:rPr>
        <w:t>An IAB-node can still maintain its DL Tx timing</w:t>
      </w:r>
      <w:r w:rsidR="00AE69DE" w:rsidRPr="00C45FC0">
        <w:rPr>
          <w:rFonts w:ascii="Arial" w:hAnsi="Arial" w:cs="Arial"/>
          <w:sz w:val="20"/>
          <w:szCs w:val="20"/>
          <w:lang w:val="en-US"/>
        </w:rPr>
        <w:t xml:space="preserve"> if provided </w:t>
      </w:r>
      <w:proofErr w:type="spellStart"/>
      <w:r w:rsidR="00AE69DE" w:rsidRPr="00C45FC0">
        <w:rPr>
          <w:rFonts w:ascii="Arial" w:hAnsi="Arial" w:cs="Arial"/>
          <w:sz w:val="20"/>
          <w:szCs w:val="20"/>
          <w:lang w:val="en-US"/>
        </w:rPr>
        <w:t>T_</w:t>
      </w:r>
      <w:proofErr w:type="gramStart"/>
      <w:r w:rsidR="00AE69DE" w:rsidRPr="00C45FC0">
        <w:rPr>
          <w:rFonts w:ascii="Arial" w:hAnsi="Arial" w:cs="Arial"/>
          <w:sz w:val="20"/>
          <w:szCs w:val="20"/>
          <w:lang w:val="en-US"/>
        </w:rPr>
        <w:t>delta,index</w:t>
      </w:r>
      <w:proofErr w:type="spellEnd"/>
      <w:proofErr w:type="gramEnd"/>
      <w:r w:rsidR="00AE69DE" w:rsidRPr="00C45FC0">
        <w:rPr>
          <w:rFonts w:ascii="Arial" w:hAnsi="Arial" w:cs="Arial"/>
          <w:sz w:val="20"/>
          <w:szCs w:val="20"/>
          <w:lang w:val="en-US"/>
        </w:rPr>
        <w:t xml:space="preserve">, even </w:t>
      </w:r>
      <w:r w:rsidR="008D7FED" w:rsidRPr="00C45FC0">
        <w:rPr>
          <w:rFonts w:ascii="Arial" w:hAnsi="Arial" w:cs="Arial"/>
          <w:sz w:val="20"/>
          <w:szCs w:val="20"/>
          <w:lang w:val="en-US"/>
        </w:rPr>
        <w:t xml:space="preserve">if </w:t>
      </w:r>
      <w:r w:rsidR="00AE69DE" w:rsidRPr="00C45FC0">
        <w:rPr>
          <w:rFonts w:ascii="Arial" w:hAnsi="Arial" w:cs="Arial"/>
          <w:sz w:val="20"/>
          <w:szCs w:val="20"/>
          <w:lang w:val="en-US"/>
        </w:rPr>
        <w:t>the IAB-node is operating in Case-6 or the parent IAB-node is operating in Case-7</w:t>
      </w:r>
      <w:r w:rsidRPr="00C45FC0">
        <w:rPr>
          <w:rFonts w:ascii="Arial" w:hAnsi="Arial" w:cs="Arial"/>
          <w:sz w:val="20"/>
          <w:szCs w:val="20"/>
          <w:lang w:val="en-US"/>
        </w:rPr>
        <w:t>.</w:t>
      </w:r>
    </w:p>
    <w:p w14:paraId="2A03053F" w14:textId="79FC9C7A" w:rsidR="00D81A4D" w:rsidRPr="00C45FC0" w:rsidRDefault="00C33192" w:rsidP="00ED6838">
      <w:pPr>
        <w:pStyle w:val="ListParagraph"/>
        <w:numPr>
          <w:ilvl w:val="0"/>
          <w:numId w:val="36"/>
        </w:numPr>
        <w:jc w:val="both"/>
        <w:rPr>
          <w:rFonts w:ascii="Arial" w:hAnsi="Arial" w:cs="Arial"/>
          <w:sz w:val="20"/>
          <w:szCs w:val="20"/>
          <w:lang w:val="en-US"/>
        </w:rPr>
      </w:pPr>
      <w:r w:rsidRPr="00C45FC0">
        <w:rPr>
          <w:rFonts w:ascii="Arial" w:hAnsi="Arial" w:cs="Arial"/>
          <w:sz w:val="20"/>
          <w:szCs w:val="20"/>
          <w:lang w:val="en-US"/>
        </w:rPr>
        <w:t xml:space="preserve">The (minimum) index values for </w:t>
      </w:r>
      <w:proofErr w:type="spellStart"/>
      <w:r w:rsidRPr="00C45FC0">
        <w:rPr>
          <w:rFonts w:ascii="Arial" w:hAnsi="Arial" w:cs="Arial"/>
          <w:sz w:val="20"/>
          <w:szCs w:val="20"/>
          <w:lang w:val="en-US"/>
        </w:rPr>
        <w:t>T_</w:t>
      </w:r>
      <w:proofErr w:type="gramStart"/>
      <w:r w:rsidRPr="00C45FC0">
        <w:rPr>
          <w:rFonts w:ascii="Arial" w:hAnsi="Arial" w:cs="Arial"/>
          <w:sz w:val="20"/>
          <w:szCs w:val="20"/>
          <w:lang w:val="en-US"/>
        </w:rPr>
        <w:t>delta,index</w:t>
      </w:r>
      <w:proofErr w:type="spellEnd"/>
      <w:proofErr w:type="gramEnd"/>
      <w:r w:rsidRPr="00C45FC0">
        <w:rPr>
          <w:rFonts w:ascii="Arial" w:hAnsi="Arial" w:cs="Arial"/>
          <w:sz w:val="20"/>
          <w:szCs w:val="20"/>
          <w:lang w:val="en-US"/>
        </w:rPr>
        <w:t xml:space="preserve"> are supported by current specification of the </w:t>
      </w:r>
      <w:proofErr w:type="spellStart"/>
      <w:r w:rsidRPr="00C45FC0">
        <w:rPr>
          <w:rFonts w:ascii="Arial" w:hAnsi="Arial" w:cs="Arial"/>
          <w:sz w:val="20"/>
          <w:szCs w:val="20"/>
          <w:lang w:val="en-US"/>
        </w:rPr>
        <w:t>T_delta</w:t>
      </w:r>
      <w:proofErr w:type="spellEnd"/>
      <w:r w:rsidRPr="00C45FC0">
        <w:rPr>
          <w:rFonts w:ascii="Arial" w:hAnsi="Arial" w:cs="Arial"/>
          <w:sz w:val="20"/>
          <w:szCs w:val="20"/>
          <w:lang w:val="en-US"/>
        </w:rPr>
        <w:t xml:space="preserve"> MAC CE signaling format</w:t>
      </w:r>
      <w:r w:rsidR="00AE69DE" w:rsidRPr="00C45FC0">
        <w:rPr>
          <w:rFonts w:ascii="Arial" w:hAnsi="Arial" w:cs="Arial"/>
          <w:sz w:val="20"/>
          <w:szCs w:val="20"/>
          <w:lang w:val="en-US"/>
        </w:rPr>
        <w:t>, i.e.,</w:t>
      </w:r>
      <w:r w:rsidRPr="00C45FC0">
        <w:rPr>
          <w:rFonts w:ascii="Arial" w:hAnsi="Arial" w:cs="Arial"/>
          <w:sz w:val="20"/>
          <w:szCs w:val="20"/>
          <w:lang w:val="en-US"/>
        </w:rPr>
        <w:t xml:space="preserve"> t</w:t>
      </w:r>
      <w:r w:rsidR="00D81A4D" w:rsidRPr="00C45FC0">
        <w:rPr>
          <w:rFonts w:ascii="Arial" w:hAnsi="Arial" w:cs="Arial"/>
          <w:sz w:val="20"/>
          <w:szCs w:val="20"/>
          <w:lang w:val="en-US"/>
        </w:rPr>
        <w:t xml:space="preserve">he current signaling format for </w:t>
      </w:r>
      <w:proofErr w:type="spellStart"/>
      <w:r w:rsidR="00D81A4D" w:rsidRPr="00C45FC0">
        <w:rPr>
          <w:rFonts w:ascii="Arial" w:hAnsi="Arial" w:cs="Arial"/>
          <w:sz w:val="20"/>
          <w:szCs w:val="20"/>
          <w:lang w:val="en-US"/>
        </w:rPr>
        <w:t>T_delta,index</w:t>
      </w:r>
      <w:proofErr w:type="spellEnd"/>
      <w:r w:rsidR="00D81A4D" w:rsidRPr="00C45FC0">
        <w:rPr>
          <w:rFonts w:ascii="Arial" w:hAnsi="Arial" w:cs="Arial"/>
          <w:sz w:val="20"/>
          <w:szCs w:val="20"/>
          <w:lang w:val="en-US"/>
        </w:rPr>
        <w:t xml:space="preserve"> (Timing Delta MAC CE in TS 38.321</w:t>
      </w:r>
      <w:r w:rsidR="003669EF" w:rsidRPr="00C45FC0">
        <w:rPr>
          <w:rFonts w:ascii="Arial" w:hAnsi="Arial" w:cs="Arial"/>
          <w:sz w:val="20"/>
          <w:szCs w:val="20"/>
          <w:lang w:val="en-US"/>
        </w:rPr>
        <w:t xml:space="preserve"> </w:t>
      </w:r>
      <w:r w:rsidR="003669EF" w:rsidRPr="00C45FC0">
        <w:rPr>
          <w:rFonts w:ascii="Arial" w:hAnsi="Arial" w:cs="Arial"/>
          <w:sz w:val="20"/>
          <w:szCs w:val="20"/>
          <w:lang w:val="en-US"/>
        </w:rPr>
        <w:fldChar w:fldCharType="begin"/>
      </w:r>
      <w:r w:rsidR="003669EF" w:rsidRPr="00C45FC0">
        <w:rPr>
          <w:rFonts w:ascii="Arial" w:eastAsia="Times New Roman" w:hAnsi="Arial" w:cs="Arial"/>
          <w:sz w:val="20"/>
          <w:szCs w:val="18"/>
          <w:lang w:val="en-GB" w:eastAsia="en-GB"/>
        </w:rPr>
        <w:instrText xml:space="preserve"> REF _Ref79142183 \w \h </w:instrText>
      </w:r>
      <w:r w:rsidR="00986820" w:rsidRPr="00C45FC0">
        <w:rPr>
          <w:rFonts w:ascii="Arial" w:eastAsia="Times New Roman" w:hAnsi="Arial" w:cs="Arial"/>
          <w:sz w:val="20"/>
          <w:szCs w:val="18"/>
          <w:lang w:val="en-GB" w:eastAsia="en-GB"/>
        </w:rPr>
        <w:instrText xml:space="preserve"> \* MERGEFORMAT </w:instrText>
      </w:r>
      <w:r w:rsidR="003669EF" w:rsidRPr="00C45FC0">
        <w:rPr>
          <w:rFonts w:ascii="Arial" w:hAnsi="Arial" w:cs="Arial"/>
          <w:sz w:val="20"/>
          <w:szCs w:val="20"/>
          <w:lang w:val="en-US"/>
        </w:rPr>
      </w:r>
      <w:r w:rsidR="003669EF" w:rsidRPr="00C45FC0">
        <w:rPr>
          <w:rFonts w:ascii="Arial" w:hAnsi="Arial" w:cs="Arial"/>
          <w:sz w:val="20"/>
          <w:szCs w:val="20"/>
          <w:lang w:val="en-US"/>
        </w:rPr>
        <w:fldChar w:fldCharType="separate"/>
      </w:r>
      <w:r w:rsidR="00BC7F0D">
        <w:rPr>
          <w:rFonts w:ascii="Arial" w:eastAsia="Times New Roman" w:hAnsi="Arial" w:cs="Arial"/>
          <w:sz w:val="20"/>
          <w:szCs w:val="18"/>
          <w:lang w:val="en-GB" w:eastAsia="en-GB"/>
        </w:rPr>
        <w:t>[10]</w:t>
      </w:r>
      <w:r w:rsidR="003669EF" w:rsidRPr="00C45FC0">
        <w:rPr>
          <w:rFonts w:ascii="Arial" w:hAnsi="Arial" w:cs="Arial"/>
          <w:sz w:val="20"/>
          <w:szCs w:val="20"/>
          <w:lang w:val="en-US"/>
        </w:rPr>
        <w:fldChar w:fldCharType="end"/>
      </w:r>
      <w:r w:rsidR="00D81A4D" w:rsidRPr="00C45FC0">
        <w:rPr>
          <w:rFonts w:ascii="Arial" w:hAnsi="Arial" w:cs="Arial"/>
          <w:sz w:val="20"/>
          <w:szCs w:val="20"/>
          <w:lang w:val="en-US"/>
        </w:rPr>
        <w:t>) can be re-used.</w:t>
      </w:r>
    </w:p>
    <w:p w14:paraId="04ADA438" w14:textId="12E90BBF" w:rsidR="00C33192" w:rsidRPr="00C45FC0" w:rsidRDefault="00C33192" w:rsidP="00ED6838">
      <w:pPr>
        <w:pStyle w:val="ListParagraph"/>
        <w:numPr>
          <w:ilvl w:val="0"/>
          <w:numId w:val="36"/>
        </w:numPr>
        <w:spacing w:after="240"/>
        <w:jc w:val="both"/>
        <w:rPr>
          <w:rFonts w:ascii="Arial" w:hAnsi="Arial" w:cs="Arial"/>
          <w:sz w:val="20"/>
          <w:szCs w:val="20"/>
          <w:lang w:val="en-US"/>
        </w:rPr>
      </w:pPr>
      <w:r w:rsidRPr="00C45FC0">
        <w:rPr>
          <w:rFonts w:ascii="Arial" w:hAnsi="Arial" w:cs="Arial"/>
          <w:sz w:val="20"/>
          <w:szCs w:val="20"/>
          <w:lang w:val="en-US"/>
        </w:rPr>
        <w:t xml:space="preserve">Depending on the expected support of backhaul distances, the indexing of </w:t>
      </w:r>
      <w:proofErr w:type="spellStart"/>
      <w:r w:rsidRPr="00C45FC0">
        <w:rPr>
          <w:rFonts w:ascii="Arial" w:hAnsi="Arial" w:cs="Arial"/>
          <w:sz w:val="20"/>
          <w:szCs w:val="20"/>
          <w:lang w:val="en-US"/>
        </w:rPr>
        <w:t>T_</w:t>
      </w:r>
      <w:proofErr w:type="gramStart"/>
      <w:r w:rsidRPr="00C45FC0">
        <w:rPr>
          <w:rFonts w:ascii="Arial" w:hAnsi="Arial" w:cs="Arial"/>
          <w:sz w:val="20"/>
          <w:szCs w:val="20"/>
          <w:lang w:val="en-US"/>
        </w:rPr>
        <w:t>delta,index</w:t>
      </w:r>
      <w:proofErr w:type="spellEnd"/>
      <w:proofErr w:type="gramEnd"/>
      <w:r w:rsidRPr="00C45FC0">
        <w:rPr>
          <w:rFonts w:ascii="Arial" w:hAnsi="Arial" w:cs="Arial"/>
          <w:sz w:val="20"/>
          <w:szCs w:val="20"/>
          <w:lang w:val="en-US"/>
        </w:rPr>
        <w:t xml:space="preserve"> m</w:t>
      </w:r>
      <w:r w:rsidR="009E012D" w:rsidRPr="00C45FC0">
        <w:rPr>
          <w:rFonts w:ascii="Arial" w:hAnsi="Arial" w:cs="Arial"/>
          <w:sz w:val="20"/>
          <w:szCs w:val="20"/>
          <w:lang w:val="en-US"/>
        </w:rPr>
        <w:t>ay</w:t>
      </w:r>
      <w:r w:rsidRPr="00C45FC0">
        <w:rPr>
          <w:rFonts w:ascii="Arial" w:hAnsi="Arial" w:cs="Arial"/>
          <w:sz w:val="20"/>
          <w:szCs w:val="20"/>
          <w:lang w:val="en-US"/>
        </w:rPr>
        <w:t xml:space="preserve"> require one additional bit (out of five reserved ones).</w:t>
      </w:r>
    </w:p>
    <w:p w14:paraId="2FC4D85D" w14:textId="3DA03D44" w:rsidR="00D81A4D" w:rsidRPr="009F2042" w:rsidRDefault="0014767C" w:rsidP="00ED6838">
      <w:pPr>
        <w:jc w:val="both"/>
      </w:pPr>
      <w:r w:rsidRPr="009F2042">
        <w:t>If an IAB-node can still maintain its DL Tx timing, Alt-2 is immediately supported</w:t>
      </w:r>
      <w:r w:rsidR="004B68C9" w:rsidRPr="009F2042">
        <w:t xml:space="preserve"> with no signaling overhead and minimum specification effort (</w:t>
      </w:r>
      <w:r w:rsidR="00AE69DE" w:rsidRPr="009F2042">
        <w:t xml:space="preserve">only adjusting </w:t>
      </w:r>
      <w:r w:rsidR="004B68C9" w:rsidRPr="009F2042">
        <w:t xml:space="preserve">the reference to a maximum value of </w:t>
      </w:r>
      <w:proofErr w:type="spellStart"/>
      <w:r w:rsidR="004B68C9" w:rsidRPr="009F2042">
        <w:t>T_</w:t>
      </w:r>
      <w:proofErr w:type="gramStart"/>
      <w:r w:rsidR="004B68C9" w:rsidRPr="009F2042">
        <w:t>delta,index</w:t>
      </w:r>
      <w:proofErr w:type="spellEnd"/>
      <w:proofErr w:type="gramEnd"/>
      <w:r w:rsidR="004B68C9" w:rsidRPr="009F2042">
        <w:t xml:space="preserve"> in TS 38.321, maybe adding one already available signaling bit). If the MT and DU Tx timing are identical (and set by the IAB-node itself), a minimum </w:t>
      </w:r>
      <w:r w:rsidR="004B68C9" w:rsidRPr="009F2042">
        <w:rPr>
          <w:szCs w:val="20"/>
        </w:rPr>
        <w:t xml:space="preserve">DU Tx / MT Tx alignment error can be achieved (at least it does not depend on the parent IAB-node performance) and all classes of </w:t>
      </w:r>
      <w:r w:rsidR="008A1E55" w:rsidRPr="009F2042">
        <w:rPr>
          <w:szCs w:val="20"/>
        </w:rPr>
        <w:t>IAB-node Case-6 alignment requirements can be supported.</w:t>
      </w:r>
    </w:p>
    <w:p w14:paraId="49FDCA54" w14:textId="592631CA" w:rsidR="008A1E55" w:rsidRPr="009F2042" w:rsidRDefault="001616DF" w:rsidP="00ED6838">
      <w:pPr>
        <w:pStyle w:val="Proposal"/>
      </w:pPr>
      <w:bookmarkStart w:id="12" w:name="_Toc79180113"/>
      <w:r w:rsidRPr="009F2042">
        <w:t xml:space="preserve">In </w:t>
      </w:r>
      <w:r w:rsidR="00F77747" w:rsidRPr="009F2042">
        <w:t>Case-6 timing</w:t>
      </w:r>
      <w:r w:rsidRPr="009F2042">
        <w:t>, the MT’s Tx timing</w:t>
      </w:r>
      <w:r w:rsidR="00F77747" w:rsidRPr="009F2042">
        <w:t xml:space="preserve"> is set by the node to the timing obtained for the node’s DL Tx and </w:t>
      </w:r>
      <w:r w:rsidR="008A1E55" w:rsidRPr="009F2042">
        <w:t xml:space="preserve">the valid </w:t>
      </w:r>
      <w:proofErr w:type="spellStart"/>
      <w:r w:rsidR="008A1E55" w:rsidRPr="009F2042">
        <w:t>T_delta</w:t>
      </w:r>
      <w:proofErr w:type="spellEnd"/>
      <w:r w:rsidR="008A1E55" w:rsidRPr="009F2042">
        <w:t xml:space="preserve"> index range </w:t>
      </w:r>
      <w:r w:rsidR="00F77747" w:rsidRPr="009F2042">
        <w:t xml:space="preserve">is extended </w:t>
      </w:r>
      <w:r w:rsidR="008A1E55" w:rsidRPr="009F2042">
        <w:t>from (0,1…1199) to (0,1…2047).</w:t>
      </w:r>
      <w:bookmarkEnd w:id="12"/>
    </w:p>
    <w:p w14:paraId="0CF97CE0" w14:textId="7C11B4E0" w:rsidR="008A1E55" w:rsidRPr="009F2042" w:rsidRDefault="008A1E55" w:rsidP="00ED6838">
      <w:pPr>
        <w:pStyle w:val="Proposal"/>
      </w:pPr>
      <w:bookmarkStart w:id="13" w:name="_Ref79051883"/>
      <w:bookmarkStart w:id="14" w:name="_Toc79180114"/>
      <w:r w:rsidRPr="009F2042">
        <w:t xml:space="preserve">Discuss whether there exist use cases with increased ISD, and if so, if these use cases warrant extending the bit field of the </w:t>
      </w:r>
      <w:proofErr w:type="spellStart"/>
      <w:r w:rsidRPr="009F2042">
        <w:t>T_delta</w:t>
      </w:r>
      <w:proofErr w:type="spellEnd"/>
      <w:r w:rsidRPr="009F2042">
        <w:t xml:space="preserve"> MAC CE.</w:t>
      </w:r>
      <w:bookmarkEnd w:id="13"/>
      <w:bookmarkEnd w:id="14"/>
    </w:p>
    <w:p w14:paraId="6BFB3235" w14:textId="2C337484" w:rsidR="00351DB6" w:rsidRPr="009F2042" w:rsidRDefault="00351DB6" w:rsidP="00ED6838">
      <w:pPr>
        <w:jc w:val="both"/>
      </w:pPr>
      <w:r w:rsidRPr="009F2042">
        <w:t xml:space="preserve">In the </w:t>
      </w:r>
      <w:r w:rsidR="00F6496B">
        <w:t>down-select</w:t>
      </w:r>
      <w:r w:rsidRPr="009F2042">
        <w:t xml:space="preserve">ion, the </w:t>
      </w:r>
      <w:r w:rsidRPr="009F2042">
        <w:rPr>
          <w:szCs w:val="20"/>
        </w:rPr>
        <w:t xml:space="preserve">suitability for switching between timing modes </w:t>
      </w:r>
      <w:r w:rsidRPr="009F2042">
        <w:t xml:space="preserve">should be considered. In </w:t>
      </w:r>
      <w:r w:rsidR="003669EF" w:rsidRPr="009F2042">
        <w:fldChar w:fldCharType="begin"/>
      </w:r>
      <w:r w:rsidR="003669EF" w:rsidRPr="009F2042">
        <w:instrText xml:space="preserve"> REF _Ref79142665 \w \h </w:instrText>
      </w:r>
      <w:r w:rsidR="00986820" w:rsidRPr="009F2042">
        <w:instrText xml:space="preserve"> \* MERGEFORMAT </w:instrText>
      </w:r>
      <w:r w:rsidR="003669EF" w:rsidRPr="009F2042">
        <w:fldChar w:fldCharType="separate"/>
      </w:r>
      <w:r w:rsidR="00BC7F0D">
        <w:t>[11]</w:t>
      </w:r>
      <w:r w:rsidR="003669EF" w:rsidRPr="009F2042">
        <w:fldChar w:fldCharType="end"/>
      </w:r>
      <w:r w:rsidRPr="009F2042">
        <w:t xml:space="preserve">, </w:t>
      </w:r>
      <w:r w:rsidR="003669EF" w:rsidRPr="009F2042">
        <w:t xml:space="preserve">it is </w:t>
      </w:r>
      <w:r w:rsidRPr="009F2042">
        <w:t>also show</w:t>
      </w:r>
      <w:r w:rsidR="003669EF" w:rsidRPr="009F2042">
        <w:t>n</w:t>
      </w:r>
      <w:r w:rsidRPr="009F2042">
        <w:t xml:space="preserve"> that </w:t>
      </w:r>
      <w:r w:rsidR="00E479B9" w:rsidRPr="009F2042">
        <w:t xml:space="preserve">in case of </w:t>
      </w:r>
      <w:r w:rsidR="00743C8E" w:rsidRPr="009F2042">
        <w:t xml:space="preserve">any </w:t>
      </w:r>
      <w:r w:rsidR="00E479B9" w:rsidRPr="009F2042">
        <w:t xml:space="preserve">Case-6 </w:t>
      </w:r>
      <w:r w:rsidR="00743C8E" w:rsidRPr="009F2042">
        <w:t xml:space="preserve">configurations a minimum </w:t>
      </w:r>
      <w:proofErr w:type="spellStart"/>
      <w:r w:rsidR="00743C8E" w:rsidRPr="009F2042">
        <w:t>T_</w:t>
      </w:r>
      <w:proofErr w:type="gramStart"/>
      <w:r w:rsidR="00743C8E" w:rsidRPr="009F2042">
        <w:t>delta,index</w:t>
      </w:r>
      <w:proofErr w:type="spellEnd"/>
      <w:proofErr w:type="gramEnd"/>
      <w:r w:rsidR="00743C8E" w:rsidRPr="009F2042">
        <w:t xml:space="preserve"> applies. These minimum values are given in </w:t>
      </w:r>
      <w:r w:rsidR="00743C8E" w:rsidRPr="009F2042">
        <w:fldChar w:fldCharType="begin"/>
      </w:r>
      <w:r w:rsidR="00743C8E" w:rsidRPr="009F2042">
        <w:instrText xml:space="preserve"> REF _Ref78982309 \h </w:instrText>
      </w:r>
      <w:r w:rsidR="00986820" w:rsidRPr="009F2042">
        <w:instrText xml:space="preserve"> \* MERGEFORMAT </w:instrText>
      </w:r>
      <w:r w:rsidR="00743C8E" w:rsidRPr="009F2042">
        <w:fldChar w:fldCharType="separate"/>
      </w:r>
      <w:r w:rsidR="00BC7F0D" w:rsidRPr="009F2042">
        <w:t xml:space="preserve">Table </w:t>
      </w:r>
      <w:r w:rsidR="00BC7F0D">
        <w:rPr>
          <w:noProof/>
        </w:rPr>
        <w:t>2</w:t>
      </w:r>
      <w:r w:rsidR="00743C8E" w:rsidRPr="009F2042">
        <w:fldChar w:fldCharType="end"/>
      </w:r>
      <w:r w:rsidR="00743C8E" w:rsidRPr="009F2042">
        <w:t>.</w:t>
      </w:r>
    </w:p>
    <w:p w14:paraId="12E71FD4" w14:textId="4B8C27EE" w:rsidR="00351DB6" w:rsidRPr="009F2042" w:rsidRDefault="00351DB6" w:rsidP="005B1562">
      <w:pPr>
        <w:pStyle w:val="Caption"/>
        <w:jc w:val="center"/>
      </w:pPr>
      <w:bookmarkStart w:id="15" w:name="_Ref78982309"/>
      <w:r w:rsidRPr="009F2042">
        <w:t xml:space="preserve">Table </w:t>
      </w:r>
      <w:r w:rsidRPr="009F2042">
        <w:fldChar w:fldCharType="begin"/>
      </w:r>
      <w:r w:rsidRPr="009F2042">
        <w:instrText xml:space="preserve"> SEQ Table \* ARABIC </w:instrText>
      </w:r>
      <w:r w:rsidRPr="009F2042">
        <w:fldChar w:fldCharType="separate"/>
      </w:r>
      <w:r w:rsidR="00BC7F0D">
        <w:rPr>
          <w:noProof/>
        </w:rPr>
        <w:t>2</w:t>
      </w:r>
      <w:r w:rsidRPr="009F2042">
        <w:fldChar w:fldCharType="end"/>
      </w:r>
      <w:bookmarkEnd w:id="15"/>
      <w:r w:rsidRPr="009F2042">
        <w:t xml:space="preserve">: Minimum </w:t>
      </w:r>
      <w:proofErr w:type="spellStart"/>
      <w:r w:rsidRPr="009F2042">
        <w:t>T_delta_index</w:t>
      </w:r>
      <w:proofErr w:type="spellEnd"/>
      <w:r w:rsidRPr="009F2042">
        <w:t xml:space="preserve"> (MAC CE) to support Case-6 timing</w:t>
      </w:r>
      <w:r w:rsidR="001344EF" w:rsidRPr="009F204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1272"/>
        <w:gridCol w:w="1795"/>
      </w:tblGrid>
      <w:tr w:rsidR="00351DB6" w:rsidRPr="009F2042" w14:paraId="7D133B9B" w14:textId="77777777" w:rsidTr="005317D8">
        <w:trPr>
          <w:jc w:val="center"/>
        </w:trPr>
        <w:tc>
          <w:tcPr>
            <w:tcW w:w="0" w:type="auto"/>
            <w:tcBorders>
              <w:top w:val="nil"/>
              <w:left w:val="nil"/>
            </w:tcBorders>
            <w:shd w:val="clear" w:color="auto" w:fill="auto"/>
          </w:tcPr>
          <w:p w14:paraId="0D2216B5" w14:textId="77777777" w:rsidR="00351DB6" w:rsidRPr="00C45FC0" w:rsidRDefault="00351DB6" w:rsidP="00ED6838">
            <w:pPr>
              <w:jc w:val="both"/>
              <w:rPr>
                <w:rFonts w:cs="Arial"/>
              </w:rPr>
            </w:pPr>
          </w:p>
        </w:tc>
        <w:tc>
          <w:tcPr>
            <w:tcW w:w="0" w:type="auto"/>
            <w:shd w:val="clear" w:color="auto" w:fill="auto"/>
          </w:tcPr>
          <w:p w14:paraId="6FCDD92B" w14:textId="77777777" w:rsidR="00351DB6" w:rsidRPr="00C45FC0" w:rsidRDefault="00351DB6" w:rsidP="00ED6838">
            <w:pPr>
              <w:jc w:val="both"/>
              <w:rPr>
                <w:rFonts w:cs="Arial"/>
              </w:rPr>
            </w:pPr>
            <w:proofErr w:type="spellStart"/>
            <w:r w:rsidRPr="00C45FC0">
              <w:rPr>
                <w:rFonts w:cs="Arial"/>
              </w:rPr>
              <w:t>N_</w:t>
            </w:r>
            <w:proofErr w:type="gramStart"/>
            <w:r w:rsidRPr="00C45FC0">
              <w:rPr>
                <w:rFonts w:cs="Arial"/>
              </w:rPr>
              <w:t>TA,offset</w:t>
            </w:r>
            <w:proofErr w:type="spellEnd"/>
            <w:proofErr w:type="gramEnd"/>
          </w:p>
        </w:tc>
        <w:tc>
          <w:tcPr>
            <w:tcW w:w="0" w:type="auto"/>
            <w:shd w:val="clear" w:color="auto" w:fill="auto"/>
          </w:tcPr>
          <w:p w14:paraId="47114866" w14:textId="77777777" w:rsidR="00351DB6" w:rsidRPr="00C45FC0" w:rsidRDefault="00351DB6" w:rsidP="00ED6838">
            <w:pPr>
              <w:jc w:val="both"/>
              <w:rPr>
                <w:rFonts w:cs="Arial"/>
              </w:rPr>
            </w:pPr>
            <w:r w:rsidRPr="00C45FC0">
              <w:rPr>
                <w:rFonts w:cs="Arial"/>
              </w:rPr>
              <w:t xml:space="preserve">Min </w:t>
            </w:r>
            <w:proofErr w:type="spellStart"/>
            <w:r w:rsidRPr="00C45FC0">
              <w:rPr>
                <w:rFonts w:cs="Arial"/>
              </w:rPr>
              <w:t>T_</w:t>
            </w:r>
            <w:proofErr w:type="gramStart"/>
            <w:r w:rsidRPr="00C45FC0">
              <w:rPr>
                <w:rFonts w:cs="Arial"/>
              </w:rPr>
              <w:t>delta,index</w:t>
            </w:r>
            <w:proofErr w:type="spellEnd"/>
            <w:proofErr w:type="gramEnd"/>
          </w:p>
        </w:tc>
      </w:tr>
      <w:tr w:rsidR="00351DB6" w:rsidRPr="009F2042" w14:paraId="5BB7CB29" w14:textId="77777777" w:rsidTr="005317D8">
        <w:trPr>
          <w:jc w:val="center"/>
        </w:trPr>
        <w:tc>
          <w:tcPr>
            <w:tcW w:w="0" w:type="auto"/>
            <w:vMerge w:val="restart"/>
            <w:shd w:val="clear" w:color="auto" w:fill="auto"/>
          </w:tcPr>
          <w:p w14:paraId="65E29F3E" w14:textId="77777777" w:rsidR="00351DB6" w:rsidRPr="00C45FC0" w:rsidRDefault="00351DB6" w:rsidP="00ED6838">
            <w:pPr>
              <w:jc w:val="both"/>
              <w:rPr>
                <w:rFonts w:cs="Arial"/>
              </w:rPr>
            </w:pPr>
            <w:r w:rsidRPr="00C45FC0">
              <w:rPr>
                <w:rFonts w:cs="Arial"/>
              </w:rPr>
              <w:t>FR1</w:t>
            </w:r>
          </w:p>
        </w:tc>
        <w:tc>
          <w:tcPr>
            <w:tcW w:w="0" w:type="auto"/>
            <w:shd w:val="clear" w:color="auto" w:fill="auto"/>
            <w:vAlign w:val="bottom"/>
          </w:tcPr>
          <w:p w14:paraId="42040A21" w14:textId="77777777" w:rsidR="00351DB6" w:rsidRPr="00C45FC0" w:rsidDel="00B37B10" w:rsidRDefault="00351DB6" w:rsidP="00ED6838">
            <w:pPr>
              <w:jc w:val="both"/>
              <w:rPr>
                <w:rFonts w:cs="Arial"/>
                <w:color w:val="000000"/>
              </w:rPr>
            </w:pPr>
            <w:r w:rsidRPr="00C45FC0">
              <w:rPr>
                <w:rFonts w:cs="Arial"/>
                <w:color w:val="000000"/>
              </w:rPr>
              <w:t>25600</w:t>
            </w:r>
          </w:p>
        </w:tc>
        <w:tc>
          <w:tcPr>
            <w:tcW w:w="0" w:type="auto"/>
            <w:shd w:val="clear" w:color="auto" w:fill="auto"/>
          </w:tcPr>
          <w:p w14:paraId="30057073" w14:textId="77777777" w:rsidR="00351DB6" w:rsidRPr="00C45FC0" w:rsidRDefault="00351DB6" w:rsidP="00ED6838">
            <w:pPr>
              <w:jc w:val="both"/>
              <w:rPr>
                <w:rFonts w:cs="Arial"/>
              </w:rPr>
            </w:pPr>
            <w:r w:rsidRPr="00C45FC0">
              <w:rPr>
                <w:rFonts w:cs="Arial"/>
                <w:color w:val="000000"/>
              </w:rPr>
              <w:t>1302</w:t>
            </w:r>
          </w:p>
        </w:tc>
      </w:tr>
      <w:tr w:rsidR="00351DB6" w:rsidRPr="009F2042" w14:paraId="2F1D7826" w14:textId="77777777" w:rsidTr="005317D8">
        <w:trPr>
          <w:jc w:val="center"/>
        </w:trPr>
        <w:tc>
          <w:tcPr>
            <w:tcW w:w="0" w:type="auto"/>
            <w:vMerge/>
            <w:shd w:val="clear" w:color="auto" w:fill="auto"/>
          </w:tcPr>
          <w:p w14:paraId="34F9C680" w14:textId="77777777" w:rsidR="00351DB6" w:rsidRPr="00C45FC0" w:rsidRDefault="00351DB6" w:rsidP="00ED6838">
            <w:pPr>
              <w:jc w:val="both"/>
              <w:rPr>
                <w:rFonts w:cs="Arial"/>
              </w:rPr>
            </w:pPr>
          </w:p>
        </w:tc>
        <w:tc>
          <w:tcPr>
            <w:tcW w:w="0" w:type="auto"/>
            <w:shd w:val="clear" w:color="auto" w:fill="auto"/>
            <w:vAlign w:val="bottom"/>
          </w:tcPr>
          <w:p w14:paraId="6D40F7D6" w14:textId="77777777" w:rsidR="00351DB6" w:rsidRPr="00C45FC0" w:rsidDel="00F94ED9" w:rsidRDefault="00351DB6" w:rsidP="00ED6838">
            <w:pPr>
              <w:jc w:val="both"/>
              <w:rPr>
                <w:rFonts w:cs="Arial"/>
              </w:rPr>
            </w:pPr>
            <w:r w:rsidRPr="00C45FC0">
              <w:rPr>
                <w:rFonts w:cs="Arial"/>
                <w:color w:val="000000"/>
              </w:rPr>
              <w:t>39926</w:t>
            </w:r>
          </w:p>
        </w:tc>
        <w:tc>
          <w:tcPr>
            <w:tcW w:w="0" w:type="auto"/>
            <w:shd w:val="clear" w:color="auto" w:fill="auto"/>
          </w:tcPr>
          <w:p w14:paraId="7070B6B0" w14:textId="77777777" w:rsidR="00351DB6" w:rsidRPr="00C45FC0" w:rsidRDefault="00351DB6" w:rsidP="00ED6838">
            <w:pPr>
              <w:jc w:val="both"/>
              <w:rPr>
                <w:rFonts w:cs="Arial"/>
              </w:rPr>
            </w:pPr>
            <w:r w:rsidRPr="00C45FC0">
              <w:rPr>
                <w:rFonts w:cs="Arial"/>
              </w:rPr>
              <w:t>1413,9</w:t>
            </w:r>
          </w:p>
        </w:tc>
      </w:tr>
      <w:tr w:rsidR="00351DB6" w:rsidRPr="009F2042" w14:paraId="1CB1C8D9" w14:textId="77777777" w:rsidTr="005317D8">
        <w:trPr>
          <w:jc w:val="center"/>
        </w:trPr>
        <w:tc>
          <w:tcPr>
            <w:tcW w:w="0" w:type="auto"/>
            <w:shd w:val="clear" w:color="auto" w:fill="auto"/>
          </w:tcPr>
          <w:p w14:paraId="1897072C" w14:textId="77777777" w:rsidR="00351DB6" w:rsidRPr="00C45FC0" w:rsidRDefault="00351DB6" w:rsidP="00ED6838">
            <w:pPr>
              <w:jc w:val="both"/>
              <w:rPr>
                <w:rFonts w:cs="Arial"/>
              </w:rPr>
            </w:pPr>
            <w:r w:rsidRPr="00C45FC0">
              <w:rPr>
                <w:rFonts w:cs="Arial"/>
              </w:rPr>
              <w:t>FR2</w:t>
            </w:r>
          </w:p>
        </w:tc>
        <w:tc>
          <w:tcPr>
            <w:tcW w:w="0" w:type="auto"/>
            <w:shd w:val="clear" w:color="auto" w:fill="auto"/>
            <w:vAlign w:val="bottom"/>
          </w:tcPr>
          <w:p w14:paraId="74FAF3C1" w14:textId="77777777" w:rsidR="00351DB6" w:rsidRPr="00C45FC0" w:rsidDel="00F94ED9" w:rsidRDefault="00351DB6" w:rsidP="00ED6838">
            <w:pPr>
              <w:jc w:val="both"/>
              <w:rPr>
                <w:rFonts w:cs="Arial"/>
              </w:rPr>
            </w:pPr>
            <w:r w:rsidRPr="00C45FC0">
              <w:rPr>
                <w:rFonts w:cs="Arial"/>
              </w:rPr>
              <w:t>13792</w:t>
            </w:r>
          </w:p>
        </w:tc>
        <w:tc>
          <w:tcPr>
            <w:tcW w:w="0" w:type="auto"/>
            <w:shd w:val="clear" w:color="auto" w:fill="auto"/>
          </w:tcPr>
          <w:p w14:paraId="5A662BF9" w14:textId="77777777" w:rsidR="00351DB6" w:rsidRPr="00C45FC0" w:rsidRDefault="00351DB6" w:rsidP="00ED6838">
            <w:pPr>
              <w:jc w:val="both"/>
              <w:rPr>
                <w:rFonts w:cs="Arial"/>
              </w:rPr>
            </w:pPr>
            <w:r w:rsidRPr="00C45FC0">
              <w:rPr>
                <w:rFonts w:cs="Arial"/>
                <w:color w:val="000000"/>
              </w:rPr>
              <w:t>767,5</w:t>
            </w:r>
          </w:p>
        </w:tc>
      </w:tr>
    </w:tbl>
    <w:p w14:paraId="31546136" w14:textId="6638558B" w:rsidR="00351DB6" w:rsidRPr="009F2042" w:rsidRDefault="00743C8E" w:rsidP="00ED6838">
      <w:pPr>
        <w:jc w:val="both"/>
      </w:pPr>
      <w:r w:rsidRPr="009F2042">
        <w:lastRenderedPageBreak/>
        <w:t xml:space="preserve">Comparing the values for </w:t>
      </w:r>
      <w:proofErr w:type="spellStart"/>
      <w:r w:rsidRPr="009F2042">
        <w:t>T_</w:t>
      </w:r>
      <w:proofErr w:type="gramStart"/>
      <w:r w:rsidRPr="009F2042">
        <w:t>delta,index</w:t>
      </w:r>
      <w:proofErr w:type="spellEnd"/>
      <w:proofErr w:type="gramEnd"/>
      <w:r w:rsidRPr="009F2042">
        <w:t xml:space="preserve"> in </w:t>
      </w:r>
      <w:r w:rsidRPr="009F2042">
        <w:fldChar w:fldCharType="begin"/>
      </w:r>
      <w:r w:rsidRPr="009F2042">
        <w:instrText xml:space="preserve"> REF _Ref78974749 \h </w:instrText>
      </w:r>
      <w:r w:rsidR="00986820" w:rsidRPr="009F2042">
        <w:instrText xml:space="preserve"> \* MERGEFORMAT </w:instrText>
      </w:r>
      <w:r w:rsidRPr="009F2042">
        <w:fldChar w:fldCharType="separate"/>
      </w:r>
      <w:r w:rsidR="00BC7F0D" w:rsidRPr="009F2042">
        <w:t xml:space="preserve">Table </w:t>
      </w:r>
      <w:r w:rsidR="00BC7F0D">
        <w:rPr>
          <w:noProof/>
        </w:rPr>
        <w:t>1</w:t>
      </w:r>
      <w:r w:rsidRPr="009F2042">
        <w:fldChar w:fldCharType="end"/>
      </w:r>
      <w:r w:rsidRPr="009F2042">
        <w:t xml:space="preserve"> and </w:t>
      </w:r>
      <w:r w:rsidRPr="009F2042">
        <w:fldChar w:fldCharType="begin"/>
      </w:r>
      <w:r w:rsidRPr="009F2042">
        <w:instrText xml:space="preserve"> REF _Ref78982309 \h </w:instrText>
      </w:r>
      <w:r w:rsidR="00986820" w:rsidRPr="009F2042">
        <w:instrText xml:space="preserve"> \* MERGEFORMAT </w:instrText>
      </w:r>
      <w:r w:rsidRPr="009F2042">
        <w:fldChar w:fldCharType="separate"/>
      </w:r>
      <w:r w:rsidR="00BC7F0D" w:rsidRPr="009F2042">
        <w:t xml:space="preserve">Table </w:t>
      </w:r>
      <w:r w:rsidR="00BC7F0D">
        <w:rPr>
          <w:noProof/>
        </w:rPr>
        <w:t>2</w:t>
      </w:r>
      <w:r w:rsidRPr="009F2042">
        <w:fldChar w:fldCharType="end"/>
      </w:r>
      <w:r w:rsidRPr="009F2042">
        <w:t xml:space="preserve">, it can be observed that value ranges for Case-1 and Case-6 do not overlap. That means that it can be uniquely determined, irrespectively of </w:t>
      </w:r>
      <w:r w:rsidR="00F00554">
        <w:t xml:space="preserve">which of </w:t>
      </w:r>
      <w:r w:rsidR="00EA3FB5" w:rsidRPr="009F2042">
        <w:t>the two</w:t>
      </w:r>
      <w:r w:rsidR="0012322C">
        <w:t xml:space="preserve"> </w:t>
      </w:r>
      <w:r w:rsidRPr="009F2042">
        <w:t>timing mode</w:t>
      </w:r>
      <w:r w:rsidR="00EA3FB5" w:rsidRPr="009F2042">
        <w:t>s</w:t>
      </w:r>
      <w:r w:rsidRPr="009F2042">
        <w:t xml:space="preserve"> an IAB-node is </w:t>
      </w:r>
      <w:r w:rsidR="00812066" w:rsidRPr="009F2042">
        <w:t xml:space="preserve">actually </w:t>
      </w:r>
      <w:r w:rsidRPr="009F2042">
        <w:t xml:space="preserve">operating in, </w:t>
      </w:r>
      <w:r w:rsidR="00201DB9" w:rsidRPr="009F2042">
        <w:t xml:space="preserve">which timing mode a </w:t>
      </w:r>
      <w:proofErr w:type="spellStart"/>
      <w:r w:rsidR="00201DB9" w:rsidRPr="009F2042">
        <w:t>T_</w:t>
      </w:r>
      <w:proofErr w:type="gramStart"/>
      <w:r w:rsidR="00201DB9" w:rsidRPr="009F2042">
        <w:t>delta,index</w:t>
      </w:r>
      <w:proofErr w:type="spellEnd"/>
      <w:proofErr w:type="gramEnd"/>
      <w:r w:rsidR="00201DB9" w:rsidRPr="009F2042">
        <w:t xml:space="preserve"> is referring to.</w:t>
      </w:r>
      <w:r w:rsidR="00557E06" w:rsidRPr="009F2042">
        <w:t xml:space="preserve"> As an example, if an IAB-node operating in FR1 is signaled a </w:t>
      </w:r>
      <w:proofErr w:type="spellStart"/>
      <w:r w:rsidR="00557E06" w:rsidRPr="009F2042">
        <w:t>T_</w:t>
      </w:r>
      <w:proofErr w:type="gramStart"/>
      <w:r w:rsidR="00557E06" w:rsidRPr="009F2042">
        <w:t>delta,index</w:t>
      </w:r>
      <w:proofErr w:type="spellEnd"/>
      <w:proofErr w:type="gramEnd"/>
      <w:r w:rsidR="00557E06" w:rsidRPr="009F2042">
        <w:t xml:space="preserve"> of 1100, it indicates that the UL Rx timing at the parent IAB-node is advanced relative to the DL Tx timing</w:t>
      </w:r>
      <w:r w:rsidR="00670808" w:rsidRPr="009F2042">
        <w:t xml:space="preserve"> (i.e., it is signaled under Case-1 timing assumptions)</w:t>
      </w:r>
      <w:r w:rsidR="00557E06" w:rsidRPr="009F2042">
        <w:t>. It cannot be delayed</w:t>
      </w:r>
      <w:r w:rsidR="00670808" w:rsidRPr="009F2042">
        <w:t xml:space="preserve"> </w:t>
      </w:r>
      <w:r w:rsidR="00F14829" w:rsidRPr="009F2042">
        <w:t xml:space="preserve">relative to the DL Tx timing </w:t>
      </w:r>
      <w:r w:rsidR="00670808" w:rsidRPr="009F2042">
        <w:t>(as i</w:t>
      </w:r>
      <w:r w:rsidR="00F14829" w:rsidRPr="009F2042">
        <w:t>s</w:t>
      </w:r>
      <w:r w:rsidR="00670808" w:rsidRPr="009F2042">
        <w:t xml:space="preserve"> always </w:t>
      </w:r>
      <w:r w:rsidR="00F14829" w:rsidRPr="009F2042">
        <w:t>the case in</w:t>
      </w:r>
      <w:r w:rsidR="00670808" w:rsidRPr="009F2042">
        <w:t xml:space="preserve"> Case-6), </w:t>
      </w:r>
      <w:r w:rsidR="002118B1" w:rsidRPr="009F2042">
        <w:t xml:space="preserve">which is indicated by a </w:t>
      </w:r>
      <w:proofErr w:type="spellStart"/>
      <w:r w:rsidR="00670808" w:rsidRPr="009F2042">
        <w:t>T_</w:t>
      </w:r>
      <w:proofErr w:type="gramStart"/>
      <w:r w:rsidR="00670808" w:rsidRPr="009F2042">
        <w:t>delta,index</w:t>
      </w:r>
      <w:proofErr w:type="spellEnd"/>
      <w:proofErr w:type="gramEnd"/>
      <w:r w:rsidR="00670808" w:rsidRPr="009F2042">
        <w:t xml:space="preserve"> of at least </w:t>
      </w:r>
      <w:r w:rsidR="00812066" w:rsidRPr="009F2042">
        <w:t xml:space="preserve">1302 </w:t>
      </w:r>
      <w:r w:rsidR="00670808" w:rsidRPr="009F2042">
        <w:t>(</w:t>
      </w:r>
      <w:r w:rsidR="00670808" w:rsidRPr="009F2042">
        <w:fldChar w:fldCharType="begin"/>
      </w:r>
      <w:r w:rsidR="00670808" w:rsidRPr="009F2042">
        <w:instrText xml:space="preserve"> REF _Ref78982309 \h </w:instrText>
      </w:r>
      <w:r w:rsidR="00986820" w:rsidRPr="009F2042">
        <w:instrText xml:space="preserve"> \* MERGEFORMAT </w:instrText>
      </w:r>
      <w:r w:rsidR="00670808" w:rsidRPr="009F2042">
        <w:fldChar w:fldCharType="separate"/>
      </w:r>
      <w:r w:rsidR="00BC7F0D" w:rsidRPr="009F2042">
        <w:t xml:space="preserve">Table </w:t>
      </w:r>
      <w:r w:rsidR="00BC7F0D">
        <w:rPr>
          <w:noProof/>
        </w:rPr>
        <w:t>2</w:t>
      </w:r>
      <w:r w:rsidR="00670808" w:rsidRPr="009F2042">
        <w:fldChar w:fldCharType="end"/>
      </w:r>
      <w:r w:rsidR="00670808" w:rsidRPr="009F2042">
        <w:t xml:space="preserve">). Contrary, if </w:t>
      </w:r>
      <w:proofErr w:type="spellStart"/>
      <w:r w:rsidR="00670808" w:rsidRPr="009F2042">
        <w:t>T_</w:t>
      </w:r>
      <w:proofErr w:type="gramStart"/>
      <w:r w:rsidR="00670808" w:rsidRPr="009F2042">
        <w:t>delta,index</w:t>
      </w:r>
      <w:proofErr w:type="spellEnd"/>
      <w:proofErr w:type="gramEnd"/>
      <w:r w:rsidR="00670808" w:rsidRPr="009F2042">
        <w:t xml:space="preserve"> is </w:t>
      </w:r>
      <w:r w:rsidR="002118B1" w:rsidRPr="009F2042">
        <w:t>above</w:t>
      </w:r>
      <w:r w:rsidR="00670808" w:rsidRPr="009F2042">
        <w:t xml:space="preserve"> 1302, the UL Rx timing at the parent IAB-node is </w:t>
      </w:r>
      <w:r w:rsidR="008A0D1B" w:rsidRPr="009F2042">
        <w:t>indicated</w:t>
      </w:r>
      <w:r w:rsidR="00670808" w:rsidRPr="009F2042">
        <w:t xml:space="preserve"> </w:t>
      </w:r>
      <w:r w:rsidR="002118B1" w:rsidRPr="009F2042">
        <w:t xml:space="preserve">as </w:t>
      </w:r>
      <w:r w:rsidR="00670808" w:rsidRPr="009F2042">
        <w:t xml:space="preserve">delayed relative to the DL Tx timing, which is always </w:t>
      </w:r>
      <w:r w:rsidR="002118B1" w:rsidRPr="009F2042">
        <w:t xml:space="preserve">the case </w:t>
      </w:r>
      <w:r w:rsidR="00670808" w:rsidRPr="009F2042">
        <w:t xml:space="preserve">in Case-6 timing, </w:t>
      </w:r>
      <w:r w:rsidR="002118B1" w:rsidRPr="009F2042">
        <w:t xml:space="preserve">but </w:t>
      </w:r>
      <w:r w:rsidR="00670808" w:rsidRPr="009F2042">
        <w:t xml:space="preserve">never in Case-1 timing. We therefore propose to use a common </w:t>
      </w:r>
      <w:proofErr w:type="spellStart"/>
      <w:r w:rsidR="00670808" w:rsidRPr="009F2042">
        <w:t>T_</w:t>
      </w:r>
      <w:proofErr w:type="gramStart"/>
      <w:r w:rsidR="00670808" w:rsidRPr="009F2042">
        <w:t>delta,index</w:t>
      </w:r>
      <w:proofErr w:type="spellEnd"/>
      <w:proofErr w:type="gramEnd"/>
      <w:r w:rsidR="00670808" w:rsidRPr="009F2042">
        <w:t xml:space="preserve"> signaling for Case-1 and Case-6 timing</w:t>
      </w:r>
      <w:r w:rsidR="00E57ADC" w:rsidRPr="009F2042">
        <w:t xml:space="preserve"> </w:t>
      </w:r>
      <w:r w:rsidR="003D3D16" w:rsidRPr="009F2042">
        <w:t xml:space="preserve">for an IAB-node to determine its DL Tx timing </w:t>
      </w:r>
      <w:r w:rsidR="00E57ADC" w:rsidRPr="009F2042">
        <w:t xml:space="preserve">as an IAB-node can determine the reference timing mode only based on the index </w:t>
      </w:r>
      <w:r w:rsidR="000F11D5" w:rsidRPr="009F2042">
        <w:t>value</w:t>
      </w:r>
      <w:r w:rsidR="00E57ADC" w:rsidRPr="009F2042">
        <w:t>.</w:t>
      </w:r>
    </w:p>
    <w:p w14:paraId="633FE3EA" w14:textId="7C64DD84" w:rsidR="00F404DF" w:rsidRPr="009F2042" w:rsidRDefault="00F404DF" w:rsidP="00ED6838">
      <w:pPr>
        <w:pStyle w:val="Observation"/>
      </w:pPr>
      <w:bookmarkStart w:id="16" w:name="_Toc79180102"/>
      <w:r w:rsidRPr="009F2042">
        <w:t xml:space="preserve">Case-1 and Case-6 timing use disjoint sets of </w:t>
      </w:r>
      <w:proofErr w:type="spellStart"/>
      <w:r w:rsidRPr="009F2042">
        <w:t>T_</w:t>
      </w:r>
      <w:proofErr w:type="gramStart"/>
      <w:r w:rsidRPr="009F2042">
        <w:t>delta,index</w:t>
      </w:r>
      <w:proofErr w:type="spellEnd"/>
      <w:proofErr w:type="gramEnd"/>
      <w:r w:rsidRPr="009F2042">
        <w:t xml:space="preserve"> values.</w:t>
      </w:r>
      <w:bookmarkEnd w:id="16"/>
    </w:p>
    <w:p w14:paraId="49F7A025" w14:textId="6FBB90BC" w:rsidR="00E57ADC" w:rsidRPr="009F2042" w:rsidRDefault="000F11D5" w:rsidP="00ED6838">
      <w:pPr>
        <w:pStyle w:val="Proposal"/>
      </w:pPr>
      <w:bookmarkStart w:id="17" w:name="_Toc79180115"/>
      <w:r w:rsidRPr="009F2042">
        <w:t>U</w:t>
      </w:r>
      <w:r w:rsidR="00E57ADC" w:rsidRPr="009F2042">
        <w:t xml:space="preserve">se a common </w:t>
      </w:r>
      <w:proofErr w:type="spellStart"/>
      <w:r w:rsidR="00E57ADC" w:rsidRPr="009F2042">
        <w:t>T_</w:t>
      </w:r>
      <w:proofErr w:type="gramStart"/>
      <w:r w:rsidR="00E57ADC" w:rsidRPr="009F2042">
        <w:t>delta,index</w:t>
      </w:r>
      <w:proofErr w:type="spellEnd"/>
      <w:proofErr w:type="gramEnd"/>
      <w:r w:rsidR="00E57ADC" w:rsidRPr="009F2042">
        <w:t xml:space="preserve"> signaling for Case-1 and Case-6 timing.</w:t>
      </w:r>
      <w:bookmarkEnd w:id="17"/>
    </w:p>
    <w:p w14:paraId="21BC6115" w14:textId="127721BB" w:rsidR="00DE6475" w:rsidRPr="009F2042" w:rsidRDefault="008A0D1B" w:rsidP="00ED6838">
      <w:pPr>
        <w:jc w:val="both"/>
      </w:pPr>
      <w:r w:rsidRPr="009F2042">
        <w:t xml:space="preserve">Alt-1 and Alt-3 propose to introduce an offset for the determination of </w:t>
      </w:r>
      <w:r w:rsidR="00F362C4" w:rsidRPr="009F2042">
        <w:t xml:space="preserve">the IAB-MT Tx timing. </w:t>
      </w:r>
      <w:r w:rsidR="00B24789" w:rsidRPr="009F2042">
        <w:t>Neither Alt-1 no</w:t>
      </w:r>
      <w:r w:rsidR="00050B67" w:rsidRPr="009F2042">
        <w:t>r</w:t>
      </w:r>
      <w:r w:rsidR="00B24789" w:rsidRPr="009F2042">
        <w:t xml:space="preserve"> Alt-3 reveal</w:t>
      </w:r>
      <w:r w:rsidRPr="009F2042">
        <w:t xml:space="preserve"> </w:t>
      </w:r>
      <w:r w:rsidR="00B24789" w:rsidRPr="009F2042">
        <w:t>what this offset should be</w:t>
      </w:r>
      <w:r w:rsidR="00BF44A0" w:rsidRPr="009F2042">
        <w:t>, at least not</w:t>
      </w:r>
      <w:r w:rsidR="00B24789" w:rsidRPr="009F2042">
        <w:t xml:space="preserve"> how this offset is determined. </w:t>
      </w:r>
      <w:r w:rsidR="005D3C07" w:rsidRPr="009F2042">
        <w:t xml:space="preserve">Important for any method to set the IAB-MT Tx timing is to </w:t>
      </w:r>
      <w:r w:rsidR="00F77B2A" w:rsidRPr="009F2042">
        <w:t>know</w:t>
      </w:r>
      <w:r w:rsidR="005D3C07" w:rsidRPr="009F2042">
        <w:t xml:space="preserve"> the propagation delay between involved IAB-nodes.</w:t>
      </w:r>
      <w:r w:rsidR="00C017F0" w:rsidRPr="009F2042">
        <w:t xml:space="preserve"> As synchronization of RAN nodes is a network requirement, independent of IAB, there is not much choice for the setting of each IAB-node’s DL Tx timing</w:t>
      </w:r>
      <w:r w:rsidR="00411206" w:rsidRPr="009F2042">
        <w:t>, regardless of</w:t>
      </w:r>
      <w:r w:rsidR="003A581D" w:rsidRPr="009F2042">
        <w:t xml:space="preserve"> the co-located IAB-MT</w:t>
      </w:r>
      <w:r w:rsidR="00411206" w:rsidRPr="009F2042">
        <w:t>’s</w:t>
      </w:r>
      <w:r w:rsidR="003A581D" w:rsidRPr="009F2042">
        <w:t xml:space="preserve"> Tx timing</w:t>
      </w:r>
      <w:r w:rsidR="00C017F0" w:rsidRPr="009F2042">
        <w:t>. This is achieved in Rel-16 by means of GNSS</w:t>
      </w:r>
      <w:r w:rsidR="00411206" w:rsidRPr="009F2042">
        <w:t xml:space="preserve"> or</w:t>
      </w:r>
      <w:r w:rsidR="00C017F0" w:rsidRPr="009F2042">
        <w:t xml:space="preserve"> OTA sync</w:t>
      </w:r>
      <w:r w:rsidR="003A581D" w:rsidRPr="009F2042">
        <w:t>hronization</w:t>
      </w:r>
      <w:r w:rsidR="00411206" w:rsidRPr="009F2042">
        <w:t>, in which case</w:t>
      </w:r>
      <w:r w:rsidR="00C017F0" w:rsidRPr="009F2042">
        <w:t xml:space="preserve"> </w:t>
      </w:r>
      <w:r w:rsidR="009B05B7" w:rsidRPr="009F2042">
        <w:t xml:space="preserve">the </w:t>
      </w:r>
      <w:r w:rsidR="00C017F0" w:rsidRPr="009F2042">
        <w:t xml:space="preserve">child IAB-node </w:t>
      </w:r>
      <w:r w:rsidR="009B05B7" w:rsidRPr="009F2042">
        <w:t>is</w:t>
      </w:r>
      <w:r w:rsidR="00DE6475" w:rsidRPr="009F2042">
        <w:t xml:space="preserve"> provided </w:t>
      </w:r>
      <w:r w:rsidR="00C017F0" w:rsidRPr="009F2042">
        <w:t xml:space="preserve">with information about the (parent) IAB-node’s relation of UL Rx and DL Tx through signaling of </w:t>
      </w:r>
      <w:proofErr w:type="spellStart"/>
      <w:r w:rsidR="00C017F0" w:rsidRPr="009F2042">
        <w:t>T_delta</w:t>
      </w:r>
      <w:proofErr w:type="spellEnd"/>
      <w:r w:rsidR="00094CF7" w:rsidRPr="009F2042">
        <w:t>.</w:t>
      </w:r>
    </w:p>
    <w:p w14:paraId="5C2BCAC8" w14:textId="4E85887B" w:rsidR="00545088" w:rsidRPr="009F2042" w:rsidRDefault="00E96974" w:rsidP="00ED6838">
      <w:pPr>
        <w:jc w:val="both"/>
      </w:pPr>
      <w:r w:rsidRPr="009F2042">
        <w:t xml:space="preserve">Any RAN node can only provide timing information that can be measured by this RAN node itself. There are four </w:t>
      </w:r>
      <w:r w:rsidR="00094CF7" w:rsidRPr="009F2042">
        <w:t>“</w:t>
      </w:r>
      <w:r w:rsidRPr="009F2042">
        <w:t xml:space="preserve">time </w:t>
      </w:r>
      <w:r w:rsidR="00094CF7" w:rsidRPr="009F2042">
        <w:t>stamps”</w:t>
      </w:r>
      <w:r w:rsidRPr="009F2042">
        <w:t xml:space="preserve">. </w:t>
      </w:r>
      <w:r w:rsidR="00094CF7" w:rsidRPr="009F2042">
        <w:t>The UL Tx and Rx and DL Tx and Rx</w:t>
      </w:r>
      <w:r w:rsidR="00736E34" w:rsidRPr="009F2042">
        <w:t xml:space="preserve"> timing</w:t>
      </w:r>
      <w:r w:rsidR="00094CF7" w:rsidRPr="009F2042">
        <w:t xml:space="preserve"> information</w:t>
      </w:r>
      <w:r w:rsidR="00736E34" w:rsidRPr="009F2042">
        <w:t>, information which is</w:t>
      </w:r>
      <w:r w:rsidR="00094CF7" w:rsidRPr="009F2042">
        <w:t xml:space="preserve"> </w:t>
      </w:r>
      <w:r w:rsidR="009B05B7" w:rsidRPr="009F2042">
        <w:t>distr</w:t>
      </w:r>
      <w:r w:rsidR="00010306" w:rsidRPr="009F2042">
        <w:t>i</w:t>
      </w:r>
      <w:r w:rsidR="009B05B7" w:rsidRPr="009F2042">
        <w:t>buted</w:t>
      </w:r>
      <w:r w:rsidR="003A581D" w:rsidRPr="009F2042">
        <w:t xml:space="preserve"> </w:t>
      </w:r>
      <w:r w:rsidR="00094CF7" w:rsidRPr="009F2042">
        <w:t xml:space="preserve">between </w:t>
      </w:r>
      <w:r w:rsidR="00010306" w:rsidRPr="009F2042">
        <w:t>the</w:t>
      </w:r>
      <w:r w:rsidR="00094CF7" w:rsidRPr="009F2042">
        <w:t xml:space="preserve"> parent and </w:t>
      </w:r>
      <w:r w:rsidR="00010306" w:rsidRPr="009F2042">
        <w:t>the</w:t>
      </w:r>
      <w:r w:rsidR="00094CF7" w:rsidRPr="009F2042">
        <w:t xml:space="preserve"> IAB-node. In Rel-16, all four timing settings</w:t>
      </w:r>
      <w:r w:rsidR="00641216" w:rsidRPr="009F2042">
        <w:t>,</w:t>
      </w:r>
      <w:r w:rsidR="00094CF7" w:rsidRPr="009F2042">
        <w:t xml:space="preserve"> or measurements </w:t>
      </w:r>
      <w:r w:rsidR="00641216" w:rsidRPr="009F2042">
        <w:t>there</w:t>
      </w:r>
      <w:r w:rsidR="000A6D53" w:rsidRPr="009F2042">
        <w:t>of</w:t>
      </w:r>
      <w:r w:rsidR="00641216" w:rsidRPr="009F2042">
        <w:t>,</w:t>
      </w:r>
      <w:r w:rsidR="000A6D53" w:rsidRPr="009F2042">
        <w:t xml:space="preserve"> </w:t>
      </w:r>
      <w:r w:rsidR="00094CF7" w:rsidRPr="009F2042">
        <w:t xml:space="preserve">are already used for the estimation of a propagation delay. </w:t>
      </w:r>
      <w:r w:rsidR="00593C40" w:rsidRPr="009F2042">
        <w:t>As we already observed above</w:t>
      </w:r>
      <w:r w:rsidR="00032652" w:rsidRPr="009F2042">
        <w:t>,</w:t>
      </w:r>
      <w:r w:rsidR="00593C40" w:rsidRPr="009F2042">
        <w:t xml:space="preserve"> a parent IAB-node does not know </w:t>
      </w:r>
      <w:r w:rsidR="00010306" w:rsidRPr="009F2042">
        <w:t xml:space="preserve">the </w:t>
      </w:r>
      <w:r w:rsidR="00593C40" w:rsidRPr="009F2042">
        <w:t>descendent IAB-node’s TA, no</w:t>
      </w:r>
      <w:r w:rsidR="00736E34" w:rsidRPr="009F2042">
        <w:t>r</w:t>
      </w:r>
      <w:r w:rsidR="00593C40" w:rsidRPr="009F2042">
        <w:t xml:space="preserve"> does it know the propagation delay to such IAB-nodes. A parent node could be enabled to know the TA </w:t>
      </w:r>
      <w:r w:rsidR="00545088" w:rsidRPr="009F2042">
        <w:t xml:space="preserve">of a descendent IAB-node </w:t>
      </w:r>
      <w:r w:rsidR="00593C40" w:rsidRPr="009F2042">
        <w:t xml:space="preserve">or estimate </w:t>
      </w:r>
      <w:r w:rsidR="00010306" w:rsidRPr="009F2042">
        <w:t xml:space="preserve">the </w:t>
      </w:r>
      <w:r w:rsidR="00545088" w:rsidRPr="009F2042">
        <w:t xml:space="preserve">propagation delay, </w:t>
      </w:r>
      <w:r w:rsidR="00736E34" w:rsidRPr="009F2042">
        <w:t xml:space="preserve">only </w:t>
      </w:r>
      <w:r w:rsidR="00545088" w:rsidRPr="009F2042">
        <w:t xml:space="preserve">if the descendent IAB-node would </w:t>
      </w:r>
      <w:r w:rsidR="00577CB4" w:rsidRPr="009F2042">
        <w:t>provide</w:t>
      </w:r>
      <w:r w:rsidR="00545088" w:rsidRPr="009F2042">
        <w:t xml:space="preserve"> </w:t>
      </w:r>
      <w:r w:rsidR="00DA5DC2" w:rsidRPr="009F2042">
        <w:t xml:space="preserve">information about </w:t>
      </w:r>
      <w:r w:rsidR="00545088" w:rsidRPr="009F2042">
        <w:t>its TA</w:t>
      </w:r>
      <w:r w:rsidR="00577CB4" w:rsidRPr="009F2042">
        <w:t xml:space="preserve"> through </w:t>
      </w:r>
      <w:r w:rsidR="00C21987" w:rsidRPr="009F2042">
        <w:t>new</w:t>
      </w:r>
      <w:r w:rsidR="00577CB4" w:rsidRPr="009F2042">
        <w:t xml:space="preserve"> signaling</w:t>
      </w:r>
      <w:r w:rsidR="00545088" w:rsidRPr="009F2042">
        <w:t xml:space="preserve">. If </w:t>
      </w:r>
      <w:r w:rsidR="00736E34" w:rsidRPr="009F2042">
        <w:t>there is an alternative</w:t>
      </w:r>
      <w:r w:rsidR="00545088" w:rsidRPr="009F2042">
        <w:t xml:space="preserve">, why was this not already </w:t>
      </w:r>
      <w:r w:rsidR="00736E34" w:rsidRPr="009F2042">
        <w:t xml:space="preserve">discussed </w:t>
      </w:r>
      <w:r w:rsidR="00262E02" w:rsidRPr="009F2042">
        <w:t>and</w:t>
      </w:r>
      <w:r w:rsidR="00736E34" w:rsidRPr="009F2042">
        <w:t xml:space="preserve"> </w:t>
      </w:r>
      <w:r w:rsidR="00545088" w:rsidRPr="009F2042">
        <w:t xml:space="preserve">utilized in Rel-16? In our opinion, signaling </w:t>
      </w:r>
      <w:r w:rsidR="00262E02" w:rsidRPr="009F2042">
        <w:t xml:space="preserve">information by an IAB-node of its </w:t>
      </w:r>
      <w:r w:rsidR="00545088" w:rsidRPr="009F2042">
        <w:t xml:space="preserve">TA to a parent </w:t>
      </w:r>
      <w:r w:rsidR="00262E02" w:rsidRPr="009F2042">
        <w:t xml:space="preserve">for the parent IAB-node to control this TA </w:t>
      </w:r>
      <w:r w:rsidR="00545088" w:rsidRPr="009F2042">
        <w:t>is a step back from Rel-16.</w:t>
      </w:r>
    </w:p>
    <w:p w14:paraId="29096251" w14:textId="36BBA83A" w:rsidR="00545088" w:rsidRPr="009F2042" w:rsidRDefault="00545088" w:rsidP="00ED6838">
      <w:pPr>
        <w:pStyle w:val="Observation"/>
      </w:pPr>
      <w:bookmarkStart w:id="18" w:name="_Toc79180103"/>
      <w:r w:rsidRPr="009F2042">
        <w:t xml:space="preserve">A parent node could be enabled to know the TA of a descendent IAB-node or estimate propagation delay, </w:t>
      </w:r>
      <w:r w:rsidR="00736E34" w:rsidRPr="009F2042">
        <w:t xml:space="preserve">only </w:t>
      </w:r>
      <w:r w:rsidRPr="009F2042">
        <w:t xml:space="preserve">if the descendent IAB-node would </w:t>
      </w:r>
      <w:r w:rsidR="00577CB4" w:rsidRPr="009F2042">
        <w:t>provide</w:t>
      </w:r>
      <w:r w:rsidRPr="009F2042">
        <w:t xml:space="preserve"> </w:t>
      </w:r>
      <w:r w:rsidR="00DA5DC2" w:rsidRPr="009F2042">
        <w:t xml:space="preserve">information about </w:t>
      </w:r>
      <w:r w:rsidRPr="009F2042">
        <w:t>its TA</w:t>
      </w:r>
      <w:r w:rsidR="00577CB4" w:rsidRPr="009F2042">
        <w:t xml:space="preserve"> through </w:t>
      </w:r>
      <w:r w:rsidR="00C21987" w:rsidRPr="009F2042">
        <w:t>new</w:t>
      </w:r>
      <w:r w:rsidR="00577CB4" w:rsidRPr="009F2042">
        <w:t xml:space="preserve"> signaling</w:t>
      </w:r>
      <w:r w:rsidRPr="009F2042">
        <w:t>.</w:t>
      </w:r>
      <w:bookmarkEnd w:id="18"/>
    </w:p>
    <w:p w14:paraId="288FA239" w14:textId="5393AD22" w:rsidR="00E96974" w:rsidRPr="009F2042" w:rsidRDefault="00593C40" w:rsidP="004C330D">
      <w:pPr>
        <w:jc w:val="both"/>
      </w:pPr>
      <w:r w:rsidRPr="009F2042">
        <w:t>It is therefore totally unclear</w:t>
      </w:r>
      <w:r w:rsidR="006672DF" w:rsidRPr="009F2042">
        <w:t xml:space="preserve"> to us, how an additional offset</w:t>
      </w:r>
      <w:r w:rsidR="00C21987" w:rsidRPr="009F2042">
        <w:t>,</w:t>
      </w:r>
      <w:r w:rsidR="006672DF" w:rsidRPr="009F2042">
        <w:t xml:space="preserve"> to be provide</w:t>
      </w:r>
      <w:r w:rsidR="004141FF" w:rsidRPr="009F2042">
        <w:t>d</w:t>
      </w:r>
      <w:r w:rsidR="006672DF" w:rsidRPr="009F2042">
        <w:t xml:space="preserve"> to an IAB-node </w:t>
      </w:r>
      <w:proofErr w:type="gramStart"/>
      <w:r w:rsidR="00C21987" w:rsidRPr="009F2042">
        <w:t xml:space="preserve">in order </w:t>
      </w:r>
      <w:r w:rsidR="006672DF" w:rsidRPr="009F2042">
        <w:t>to</w:t>
      </w:r>
      <w:proofErr w:type="gramEnd"/>
      <w:r w:rsidR="006672DF" w:rsidRPr="009F2042">
        <w:t xml:space="preserve"> set</w:t>
      </w:r>
      <w:r w:rsidR="00C21987" w:rsidRPr="009F2042">
        <w:t xml:space="preserve"> or determine</w:t>
      </w:r>
      <w:r w:rsidR="006672DF" w:rsidRPr="009F2042">
        <w:t xml:space="preserve"> the</w:t>
      </w:r>
      <w:r w:rsidR="00C21987" w:rsidRPr="009F2042">
        <w:t xml:space="preserve"> Case-6 IAB-MT Tx timing,</w:t>
      </w:r>
      <w:r w:rsidR="006672DF" w:rsidRPr="009F2042">
        <w:t xml:space="preserve"> can be derived </w:t>
      </w:r>
      <w:r w:rsidR="004141FF" w:rsidRPr="009F2042">
        <w:t>such that it</w:t>
      </w:r>
      <w:r w:rsidR="006672DF" w:rsidRPr="009F2042">
        <w:t xml:space="preserve"> is not already based on </w:t>
      </w:r>
      <w:proofErr w:type="spellStart"/>
      <w:r w:rsidR="006672DF" w:rsidRPr="009F2042">
        <w:t>T_delta</w:t>
      </w:r>
      <w:proofErr w:type="spellEnd"/>
      <w:r w:rsidR="006672DF" w:rsidRPr="009F2042">
        <w:t xml:space="preserve"> (or equivalently, on the relation of an UL Rx and DL Tx timing). </w:t>
      </w:r>
      <w:r w:rsidR="00C21987" w:rsidRPr="009F2042">
        <w:t xml:space="preserve">If that is not the case, Alt-1 and Alt-3 </w:t>
      </w:r>
      <w:r w:rsidR="00FC21F7" w:rsidRPr="009F2042">
        <w:t xml:space="preserve">also </w:t>
      </w:r>
      <w:r w:rsidR="00C21987" w:rsidRPr="009F2042">
        <w:t>become equivalent to Alt-2.</w:t>
      </w:r>
      <w:r w:rsidR="004F43EE" w:rsidRPr="009F2042">
        <w:t xml:space="preserve"> Proponents of Alt-1 or Alt-3 should describe in detail</w:t>
      </w:r>
      <w:r w:rsidR="001429E9" w:rsidRPr="009F2042">
        <w:t xml:space="preserve"> how the offset in these alternatives can be derived by the (parent) IAB-node alone</w:t>
      </w:r>
      <w:r w:rsidR="00460501" w:rsidRPr="009F2042">
        <w:t xml:space="preserve"> and is not already provide</w:t>
      </w:r>
      <w:r w:rsidR="009B05B7" w:rsidRPr="009F2042">
        <w:t>d</w:t>
      </w:r>
      <w:r w:rsidR="00460501" w:rsidRPr="009F2042">
        <w:t xml:space="preserve"> through </w:t>
      </w:r>
      <w:proofErr w:type="spellStart"/>
      <w:r w:rsidR="00460501" w:rsidRPr="009F2042">
        <w:t>T_delta</w:t>
      </w:r>
      <w:proofErr w:type="spellEnd"/>
      <w:r w:rsidR="001429E9" w:rsidRPr="009F2042">
        <w:t>.</w:t>
      </w:r>
    </w:p>
    <w:p w14:paraId="57AEB92C" w14:textId="4270E111" w:rsidR="00C21987" w:rsidRPr="009F2042" w:rsidRDefault="00C21987" w:rsidP="00ED6838">
      <w:pPr>
        <w:pStyle w:val="Observation"/>
      </w:pPr>
      <w:bookmarkStart w:id="19" w:name="_Toc79180104"/>
      <w:r w:rsidRPr="009F2042">
        <w:t xml:space="preserve">If the offset in Alt-1 or Alt-3 is based on </w:t>
      </w:r>
      <w:proofErr w:type="spellStart"/>
      <w:r w:rsidRPr="009F2042">
        <w:t>T_delta</w:t>
      </w:r>
      <w:proofErr w:type="spellEnd"/>
      <w:r w:rsidR="004141FF" w:rsidRPr="009F2042">
        <w:t>, or</w:t>
      </w:r>
      <w:r w:rsidRPr="009F2042">
        <w:t xml:space="preserve"> equivalent information, Alt-1 and Alt-3 </w:t>
      </w:r>
      <w:r w:rsidR="00FC21F7" w:rsidRPr="009F2042">
        <w:t>also</w:t>
      </w:r>
      <w:r w:rsidRPr="009F2042">
        <w:t xml:space="preserve"> become equivalent to Alt-2</w:t>
      </w:r>
      <w:r w:rsidR="00780768" w:rsidRPr="009F2042">
        <w:t xml:space="preserve"> with </w:t>
      </w:r>
      <w:r w:rsidR="00A74723" w:rsidRPr="009F2042">
        <w:t xml:space="preserve">the disadvantage of requiring </w:t>
      </w:r>
      <w:r w:rsidR="00780768" w:rsidRPr="009F2042">
        <w:t>an additional signaled parameter</w:t>
      </w:r>
      <w:r w:rsidRPr="009F2042">
        <w:t>.</w:t>
      </w:r>
      <w:bookmarkEnd w:id="19"/>
    </w:p>
    <w:p w14:paraId="6678C2B5" w14:textId="17695FB9" w:rsidR="00557E06" w:rsidRPr="009F2042" w:rsidRDefault="001429E9" w:rsidP="004C330D">
      <w:pPr>
        <w:pStyle w:val="Proposal"/>
      </w:pPr>
      <w:bookmarkStart w:id="20" w:name="_Toc79180116"/>
      <w:r w:rsidRPr="009F2042">
        <w:t>Proponents of Alt-1 or Alt-3 should describe in detail how the offset in these alternatives can be derived by the (parent) IAB-node alone</w:t>
      </w:r>
      <w:r w:rsidR="00460501" w:rsidRPr="009F2042">
        <w:t xml:space="preserve"> and is not already provide</w:t>
      </w:r>
      <w:r w:rsidR="000F11D5" w:rsidRPr="009F2042">
        <w:t>d</w:t>
      </w:r>
      <w:r w:rsidR="00460501" w:rsidRPr="009F2042">
        <w:t xml:space="preserve"> through </w:t>
      </w:r>
      <w:proofErr w:type="spellStart"/>
      <w:r w:rsidR="00460501" w:rsidRPr="009F2042">
        <w:t>T_delta</w:t>
      </w:r>
      <w:proofErr w:type="spellEnd"/>
      <w:r w:rsidRPr="009F2042">
        <w:t>.</w:t>
      </w:r>
      <w:bookmarkEnd w:id="20"/>
    </w:p>
    <w:p w14:paraId="3945751F" w14:textId="2ABC6FD1" w:rsidR="00F63950" w:rsidRPr="009F2042" w:rsidRDefault="00D50AC7" w:rsidP="004C330D">
      <w:pPr>
        <w:pStyle w:val="Heading2"/>
        <w:jc w:val="both"/>
        <w:rPr>
          <w:lang w:val="en-US"/>
        </w:rPr>
      </w:pPr>
      <w:r w:rsidRPr="009F2042">
        <w:rPr>
          <w:lang w:val="en-US"/>
        </w:rPr>
        <w:t>Case-7 timing</w:t>
      </w:r>
    </w:p>
    <w:p w14:paraId="17C2EC81" w14:textId="4A02E26B" w:rsidR="00384DCA" w:rsidRPr="009F2042" w:rsidRDefault="00981699" w:rsidP="004C330D">
      <w:pPr>
        <w:jc w:val="both"/>
      </w:pPr>
      <w:r w:rsidRPr="009F2042">
        <w:t xml:space="preserve">If </w:t>
      </w:r>
      <w:proofErr w:type="spellStart"/>
      <w:r w:rsidRPr="009F2042">
        <w:t>T_delta</w:t>
      </w:r>
      <w:proofErr w:type="spellEnd"/>
      <w:r w:rsidRPr="009F2042">
        <w:t xml:space="preserve"> based OTA synchronization between IAB-nodes is also used for IAB-nodes having a Case-7 timing configuration, the same requirements and changes (i.e., extending the valid range of </w:t>
      </w:r>
      <w:proofErr w:type="spellStart"/>
      <w:r w:rsidRPr="009F2042">
        <w:t>T_delta,index</w:t>
      </w:r>
      <w:proofErr w:type="spellEnd"/>
      <w:r w:rsidRPr="009F2042">
        <w:t xml:space="preserve"> in TS 38.321</w:t>
      </w:r>
      <w:r w:rsidR="003669EF" w:rsidRPr="009F2042">
        <w:t xml:space="preserve"> </w:t>
      </w:r>
      <w:r w:rsidR="003669EF" w:rsidRPr="009F2042">
        <w:fldChar w:fldCharType="begin"/>
      </w:r>
      <w:r w:rsidR="003669EF" w:rsidRPr="009F2042">
        <w:instrText xml:space="preserve"> REF _Ref79142183 \w \h </w:instrText>
      </w:r>
      <w:r w:rsidR="00986820" w:rsidRPr="009F2042">
        <w:instrText xml:space="preserve"> \* MERGEFORMAT </w:instrText>
      </w:r>
      <w:r w:rsidR="003669EF" w:rsidRPr="009F2042">
        <w:fldChar w:fldCharType="separate"/>
      </w:r>
      <w:r w:rsidR="00BC7F0D">
        <w:t>[10]</w:t>
      </w:r>
      <w:r w:rsidR="003669EF" w:rsidRPr="009F2042">
        <w:fldChar w:fldCharType="end"/>
      </w:r>
      <w:r w:rsidRPr="009F2042">
        <w:t xml:space="preserve">) apply for Case-7 as for Case-6 </w:t>
      </w:r>
      <w:r w:rsidR="003669EF" w:rsidRPr="009F2042">
        <w:fldChar w:fldCharType="begin"/>
      </w:r>
      <w:r w:rsidR="003669EF" w:rsidRPr="009F2042">
        <w:instrText xml:space="preserve"> REF _Ref79142665 \w \h </w:instrText>
      </w:r>
      <w:r w:rsidR="00986820" w:rsidRPr="009F2042">
        <w:instrText xml:space="preserve"> \* MERGEFORMAT </w:instrText>
      </w:r>
      <w:r w:rsidR="003669EF" w:rsidRPr="009F2042">
        <w:fldChar w:fldCharType="separate"/>
      </w:r>
      <w:r w:rsidR="00BC7F0D">
        <w:t>[11]</w:t>
      </w:r>
      <w:r w:rsidR="003669EF" w:rsidRPr="009F2042">
        <w:fldChar w:fldCharType="end"/>
      </w:r>
      <w:r w:rsidRPr="009F2042">
        <w:t xml:space="preserve">. We therefore propose to use a common </w:t>
      </w:r>
      <w:proofErr w:type="spellStart"/>
      <w:r w:rsidRPr="009F2042">
        <w:t>T_</w:t>
      </w:r>
      <w:proofErr w:type="gramStart"/>
      <w:r w:rsidRPr="009F2042">
        <w:t>delta,index</w:t>
      </w:r>
      <w:proofErr w:type="spellEnd"/>
      <w:proofErr w:type="gramEnd"/>
      <w:r w:rsidRPr="009F2042">
        <w:t xml:space="preserve"> signaling for Case-1 and Case-7 timing</w:t>
      </w:r>
      <w:r w:rsidR="003D3D16" w:rsidRPr="009F2042">
        <w:t xml:space="preserve"> for an IAB-node to determine its DL Tx timing</w:t>
      </w:r>
      <w:r w:rsidRPr="009F2042">
        <w:t>.</w:t>
      </w:r>
    </w:p>
    <w:p w14:paraId="51EE60FD" w14:textId="51816D5B" w:rsidR="00981699" w:rsidRPr="009F2042" w:rsidRDefault="00441CF0" w:rsidP="004C330D">
      <w:pPr>
        <w:pStyle w:val="Proposal"/>
      </w:pPr>
      <w:bookmarkStart w:id="21" w:name="_Toc79180117"/>
      <w:r w:rsidRPr="009F2042">
        <w:t>U</w:t>
      </w:r>
      <w:r w:rsidR="00981699" w:rsidRPr="009F2042">
        <w:t xml:space="preserve">se a common </w:t>
      </w:r>
      <w:proofErr w:type="spellStart"/>
      <w:r w:rsidR="00981699" w:rsidRPr="009F2042">
        <w:t>T_</w:t>
      </w:r>
      <w:proofErr w:type="gramStart"/>
      <w:r w:rsidR="00981699" w:rsidRPr="009F2042">
        <w:t>delta,index</w:t>
      </w:r>
      <w:proofErr w:type="spellEnd"/>
      <w:proofErr w:type="gramEnd"/>
      <w:r w:rsidR="00981699" w:rsidRPr="009F2042">
        <w:t xml:space="preserve"> signaling for Case-1 and Case-7 timing.</w:t>
      </w:r>
      <w:bookmarkEnd w:id="21"/>
    </w:p>
    <w:p w14:paraId="1F751DBD" w14:textId="6C673867" w:rsidR="00981699" w:rsidRPr="009F2042" w:rsidRDefault="003D3D16" w:rsidP="00ED6838">
      <w:pPr>
        <w:jc w:val="both"/>
      </w:pPr>
      <w:r w:rsidRPr="009F2042">
        <w:lastRenderedPageBreak/>
        <w:t xml:space="preserve">The minimum index values for </w:t>
      </w:r>
      <w:proofErr w:type="spellStart"/>
      <w:r w:rsidRPr="009F2042">
        <w:t>T_</w:t>
      </w:r>
      <w:proofErr w:type="gramStart"/>
      <w:r w:rsidRPr="009F2042">
        <w:t>delta,index</w:t>
      </w:r>
      <w:proofErr w:type="spellEnd"/>
      <w:proofErr w:type="gramEnd"/>
      <w:r w:rsidRPr="009F2042">
        <w:t xml:space="preserve"> in Case-7 are provided in </w:t>
      </w:r>
      <w:r w:rsidRPr="009F2042">
        <w:fldChar w:fldCharType="begin"/>
      </w:r>
      <w:r w:rsidRPr="009F2042">
        <w:instrText xml:space="preserve"> REF _Ref78982309 \h </w:instrText>
      </w:r>
      <w:r w:rsidR="00986820" w:rsidRPr="009F2042">
        <w:instrText xml:space="preserve"> \* MERGEFORMAT </w:instrText>
      </w:r>
      <w:r w:rsidRPr="009F2042">
        <w:fldChar w:fldCharType="separate"/>
      </w:r>
      <w:r w:rsidR="00BC7F0D" w:rsidRPr="009F2042">
        <w:t xml:space="preserve">Table </w:t>
      </w:r>
      <w:r w:rsidR="00BC7F0D">
        <w:rPr>
          <w:noProof/>
        </w:rPr>
        <w:t>2</w:t>
      </w:r>
      <w:r w:rsidRPr="009F2042">
        <w:fldChar w:fldCharType="end"/>
      </w:r>
      <w:r w:rsidRPr="009F2042">
        <w:t xml:space="preserve">. </w:t>
      </w:r>
      <w:r w:rsidR="00BF6B73" w:rsidRPr="009F2042">
        <w:t xml:space="preserve">As for Case-6, a maximum </w:t>
      </w:r>
      <w:proofErr w:type="spellStart"/>
      <w:r w:rsidR="00BF6B73" w:rsidRPr="009F2042">
        <w:t>T_</w:t>
      </w:r>
      <w:proofErr w:type="gramStart"/>
      <w:r w:rsidR="00BF6B73" w:rsidRPr="009F2042">
        <w:t>delta,index</w:t>
      </w:r>
      <w:proofErr w:type="spellEnd"/>
      <w:proofErr w:type="gramEnd"/>
      <w:r w:rsidR="00BF6B73" w:rsidRPr="009F2042">
        <w:t xml:space="preserve"> depends on the expected support for backhaul link distances and </w:t>
      </w:r>
      <w:r w:rsidR="00BF6B73" w:rsidRPr="009F2042">
        <w:fldChar w:fldCharType="begin"/>
      </w:r>
      <w:r w:rsidR="00BF6B73" w:rsidRPr="009F2042">
        <w:instrText xml:space="preserve"> REF _Ref79051883 \w \h </w:instrText>
      </w:r>
      <w:r w:rsidR="00986820" w:rsidRPr="009F2042">
        <w:instrText xml:space="preserve"> \* MERGEFORMAT </w:instrText>
      </w:r>
      <w:r w:rsidR="00BF6B73" w:rsidRPr="009F2042">
        <w:fldChar w:fldCharType="separate"/>
      </w:r>
      <w:r w:rsidR="00BC7F0D">
        <w:t>Proposal 3</w:t>
      </w:r>
      <w:r w:rsidR="00BF6B73" w:rsidRPr="009F2042">
        <w:fldChar w:fldCharType="end"/>
      </w:r>
      <w:r w:rsidR="00BF6B73" w:rsidRPr="009F2042">
        <w:t xml:space="preserve"> also applies for Case-7, the reason why we do not repeat it.</w:t>
      </w:r>
    </w:p>
    <w:p w14:paraId="600B576A" w14:textId="10734B29" w:rsidR="00981699" w:rsidRPr="009F2042" w:rsidRDefault="00D71709" w:rsidP="004C330D">
      <w:pPr>
        <w:jc w:val="both"/>
      </w:pPr>
      <w:r w:rsidRPr="009F2042">
        <w:t>A</w:t>
      </w:r>
      <w:r w:rsidR="00714678" w:rsidRPr="009F2042">
        <w:t xml:space="preserve">n IAB-node simultaneously receiving using a Case-7 timing configuration has </w:t>
      </w:r>
      <w:r w:rsidR="0005796F" w:rsidRPr="009F2042">
        <w:t xml:space="preserve">an </w:t>
      </w:r>
      <w:r w:rsidR="00714678" w:rsidRPr="009F2042">
        <w:t xml:space="preserve">understanding </w:t>
      </w:r>
      <w:r w:rsidR="0005796F" w:rsidRPr="009F2042">
        <w:t>about the ideal</w:t>
      </w:r>
      <w:r w:rsidR="00714678" w:rsidRPr="009F2042">
        <w:t xml:space="preserve"> IAB-DU UL Rx timing. This is different to Case-6 when the timing alignment requirement is not on the receiving parent IAB-DU side but on the transmitting IAB-MT side.</w:t>
      </w:r>
    </w:p>
    <w:p w14:paraId="4EB4CE15" w14:textId="725456C5" w:rsidR="007B44DA" w:rsidRPr="009F2042" w:rsidRDefault="00973368" w:rsidP="00ED6838">
      <w:pPr>
        <w:jc w:val="both"/>
        <w:rPr>
          <w:szCs w:val="20"/>
        </w:rPr>
      </w:pPr>
      <w:r w:rsidRPr="009F2042">
        <w:t xml:space="preserve">Of the alternatives in </w:t>
      </w:r>
      <w:r w:rsidR="00E966B2" w:rsidRPr="009F2042">
        <w:t xml:space="preserve">the agreed </w:t>
      </w:r>
      <w:r w:rsidR="00F6496B">
        <w:t>down-select</w:t>
      </w:r>
      <w:r w:rsidR="00E966B2" w:rsidRPr="009F2042">
        <w:t xml:space="preserve">ion of </w:t>
      </w:r>
      <w:r w:rsidR="00E966B2" w:rsidRPr="009F2042">
        <w:rPr>
          <w:szCs w:val="20"/>
        </w:rPr>
        <w:t>how an IAB-MT Tx timing is set at an IAB-node for Case 7 timing at the parent node, we prefer Alt-3, to obtain the IAB-MT Tx timing of the node via a Case</w:t>
      </w:r>
      <w:r w:rsidR="0005796F" w:rsidRPr="009F2042">
        <w:rPr>
          <w:szCs w:val="20"/>
        </w:rPr>
        <w:t>-</w:t>
      </w:r>
      <w:r w:rsidR="00E966B2" w:rsidRPr="009F2042">
        <w:rPr>
          <w:szCs w:val="20"/>
        </w:rPr>
        <w:t>7 specific TA loop from the parent node.</w:t>
      </w:r>
    </w:p>
    <w:p w14:paraId="1018560D" w14:textId="691FF622" w:rsidR="00325CD0" w:rsidRPr="009F2042" w:rsidRDefault="007B44DA" w:rsidP="004C330D">
      <w:pPr>
        <w:pStyle w:val="Proposal"/>
      </w:pPr>
      <w:bookmarkStart w:id="22" w:name="_Toc79180118"/>
      <w:r w:rsidRPr="009F2042">
        <w:t xml:space="preserve">For Case-7 timing at the parent node, the IAB-MT Tx timing </w:t>
      </w:r>
      <w:r w:rsidR="00DC4A17" w:rsidRPr="009F2042">
        <w:t>is set by the parent node with a Case-7 specific TA loop.</w:t>
      </w:r>
      <w:bookmarkStart w:id="23" w:name="_Toc79153819"/>
      <w:bookmarkStart w:id="24" w:name="_Toc79162869"/>
      <w:bookmarkStart w:id="25" w:name="_Toc79165738"/>
      <w:bookmarkEnd w:id="22"/>
      <w:bookmarkEnd w:id="23"/>
      <w:bookmarkEnd w:id="24"/>
      <w:bookmarkEnd w:id="25"/>
    </w:p>
    <w:p w14:paraId="14DF7EFC" w14:textId="2F0E2428" w:rsidR="003742AC" w:rsidRPr="009F2042" w:rsidRDefault="00DE0301" w:rsidP="004C330D">
      <w:pPr>
        <w:pStyle w:val="Heading1"/>
        <w:jc w:val="both"/>
        <w:rPr>
          <w:lang w:val="en-US"/>
        </w:rPr>
      </w:pPr>
      <w:r w:rsidRPr="009F2042">
        <w:rPr>
          <w:lang w:val="en-US"/>
        </w:rPr>
        <w:t>Interference management</w:t>
      </w:r>
    </w:p>
    <w:p w14:paraId="1ADE62DA" w14:textId="44AC83A6" w:rsidR="002B77B4" w:rsidRPr="009F2042" w:rsidRDefault="002B77B4" w:rsidP="00ED6838">
      <w:pPr>
        <w:jc w:val="both"/>
        <w:rPr>
          <w:lang w:eastAsia="ja-JP"/>
        </w:rPr>
      </w:pPr>
      <w:r w:rsidRPr="009F2042">
        <w:rPr>
          <w:lang w:eastAsia="ja-JP"/>
        </w:rPr>
        <w:t xml:space="preserve">RAN4 has agreed on two different IAB-node classes, namely, wide- and local-area IAB-nodes, with distinct properties. The use-case for the wide-area IAB-node is that it is an independent IAB-node providing its own coverage, requiring a long distance backhaul link to connect to its parent IAB-node. Wide-area IAB-node deployment can be assumed to be well-planned, planned by operators, with little need for power control and limited dynamic range (according to </w:t>
      </w:r>
      <w:r w:rsidR="00790C31" w:rsidRPr="009F2042">
        <w:rPr>
          <w:lang w:eastAsia="ja-JP"/>
        </w:rPr>
        <w:fldChar w:fldCharType="begin"/>
      </w:r>
      <w:r w:rsidR="00790C31" w:rsidRPr="009F2042">
        <w:rPr>
          <w:lang w:eastAsia="ja-JP"/>
        </w:rPr>
        <w:instrText xml:space="preserve"> REF _Ref79015175 \r \h </w:instrText>
      </w:r>
      <w:r w:rsidR="00986820" w:rsidRPr="009F2042">
        <w:rPr>
          <w:lang w:eastAsia="ja-JP"/>
        </w:rPr>
        <w:instrText xml:space="preserve"> \* MERGEFORMAT </w:instrText>
      </w:r>
      <w:r w:rsidR="00790C31" w:rsidRPr="009F2042">
        <w:rPr>
          <w:lang w:eastAsia="ja-JP"/>
        </w:rPr>
      </w:r>
      <w:r w:rsidR="00790C31" w:rsidRPr="009F2042">
        <w:rPr>
          <w:lang w:eastAsia="ja-JP"/>
        </w:rPr>
        <w:fldChar w:fldCharType="separate"/>
      </w:r>
      <w:r w:rsidR="00BC7F0D">
        <w:rPr>
          <w:lang w:eastAsia="ja-JP"/>
        </w:rPr>
        <w:t>[5]</w:t>
      </w:r>
      <w:r w:rsidR="00790C31" w:rsidRPr="009F2042">
        <w:rPr>
          <w:lang w:eastAsia="ja-JP"/>
        </w:rPr>
        <w:fldChar w:fldCharType="end"/>
      </w:r>
      <w:r w:rsidR="0056735E" w:rsidRPr="009F2042">
        <w:rPr>
          <w:lang w:eastAsia="ja-JP"/>
        </w:rPr>
        <w:t>,</w:t>
      </w:r>
      <w:r w:rsidR="00790C31" w:rsidRPr="009F2042">
        <w:rPr>
          <w:lang w:eastAsia="ja-JP"/>
        </w:rPr>
        <w:t xml:space="preserve"> </w:t>
      </w:r>
      <w:r w:rsidRPr="009F2042">
        <w:rPr>
          <w:lang w:eastAsia="ja-JP"/>
        </w:rPr>
        <w:t xml:space="preserve">the dynamic range of the wide-area IAB-MTs is limited to 5 dB). Particularly, the wide-area IAB-MT looks like a normal gNB, in terms of, e.g., high transmit power, beamforming and antenna gains. Importantly, in addition to the already mentioned planned deployment, RAN4 considers wide-area IAB networks to be stationary; for instance, a minimum required distance between the nodes to avoid extreme interference to the network can be guaranteed. As a result, in such cases, and in general for planned and stationary networks, interference can be well handled during the network planning phase, </w:t>
      </w:r>
      <w:r w:rsidR="00C45FC0" w:rsidRPr="009F2042">
        <w:rPr>
          <w:lang w:eastAsia="ja-JP"/>
        </w:rPr>
        <w:t>and</w:t>
      </w:r>
      <w:r w:rsidRPr="009F2042">
        <w:rPr>
          <w:lang w:eastAsia="ja-JP"/>
        </w:rPr>
        <w:t xml:space="preserve"> given its complexity, additional interference measurements are not necessarily required, as a long as certain conditions described below are satisfied.</w:t>
      </w:r>
    </w:p>
    <w:p w14:paraId="60830EB3" w14:textId="39CD78E2" w:rsidR="002B77B4" w:rsidRPr="009F2042" w:rsidRDefault="002B77B4" w:rsidP="00ED6838">
      <w:pPr>
        <w:jc w:val="both"/>
        <w:rPr>
          <w:lang w:eastAsia="ja-JP"/>
        </w:rPr>
      </w:pPr>
      <w:r w:rsidRPr="009F2042">
        <w:rPr>
          <w:lang w:eastAsia="ja-JP"/>
        </w:rPr>
        <w:t>Considering a wide-area IAB network using high-power IAB-MTs with very high EIRP, any IAB transmission competing with a UE transmission in an uplink slot can have severe impact on the performance of IAB-DUs and gNB</w:t>
      </w:r>
      <w:r w:rsidR="00B7322A" w:rsidRPr="009F2042">
        <w:rPr>
          <w:lang w:eastAsia="ja-JP"/>
        </w:rPr>
        <w:t>s</w:t>
      </w:r>
      <w:r w:rsidRPr="009F2042">
        <w:rPr>
          <w:lang w:eastAsia="ja-JP"/>
        </w:rPr>
        <w:t xml:space="preserve"> receiving UE transmissions, both inside and outside the IAB network. This may affect the co-exist</w:t>
      </w:r>
      <w:r w:rsidR="00B7322A" w:rsidRPr="009F2042">
        <w:rPr>
          <w:lang w:eastAsia="ja-JP"/>
        </w:rPr>
        <w:t>e</w:t>
      </w:r>
      <w:r w:rsidRPr="009F2042">
        <w:rPr>
          <w:lang w:eastAsia="ja-JP"/>
        </w:rPr>
        <w:t>nce of the IAB and non-IAB network</w:t>
      </w:r>
      <w:r w:rsidR="00A23D27" w:rsidRPr="009F2042">
        <w:rPr>
          <w:lang w:eastAsia="ja-JP"/>
        </w:rPr>
        <w:t xml:space="preserve"> and even networks on adjacent carriers</w:t>
      </w:r>
      <w:r w:rsidRPr="009F2042">
        <w:rPr>
          <w:lang w:eastAsia="ja-JP"/>
        </w:rPr>
        <w:t xml:space="preserve">, which is </w:t>
      </w:r>
      <w:r w:rsidR="00A23D27" w:rsidRPr="009F2042">
        <w:rPr>
          <w:lang w:eastAsia="ja-JP"/>
        </w:rPr>
        <w:t>highly undesirable</w:t>
      </w:r>
      <w:r w:rsidRPr="009F2042">
        <w:rPr>
          <w:lang w:eastAsia="ja-JP"/>
        </w:rPr>
        <w:t>. For instance, with an upstream transmission of IAB-MT to the parent IAB-DU in an UL slot, there is a risk that the signal transmitted by a UE to a n</w:t>
      </w:r>
      <w:r w:rsidR="009F2042">
        <w:rPr>
          <w:lang w:eastAsia="ja-JP"/>
        </w:rPr>
        <w:t>eighbor</w:t>
      </w:r>
      <w:r w:rsidRPr="009F2042">
        <w:rPr>
          <w:lang w:eastAsia="ja-JP"/>
        </w:rPr>
        <w:t xml:space="preserve"> gNB (or the parent IAB-DU itself) will be highly affected by interference. On the other hand, wide-area IAB-nodes would have similar interference properties as gNBs if downlink slots are used for upstream backhauling as well. Similarly, severe interference due to, e.g., IAB-DU transmissions in uplink slots can be expected, as it may affect nodes in both the IAB network and the n</w:t>
      </w:r>
      <w:r w:rsidR="009F2042">
        <w:rPr>
          <w:lang w:eastAsia="ja-JP"/>
        </w:rPr>
        <w:t>eighbor</w:t>
      </w:r>
      <w:r w:rsidRPr="009F2042">
        <w:rPr>
          <w:lang w:eastAsia="ja-JP"/>
        </w:rPr>
        <w:t xml:space="preserve"> non-IAB network. Furthermore, for any case where a wide-area high power IAB transmission takes place in UL slots, the victims of the interference are not only the geographical n</w:t>
      </w:r>
      <w:r w:rsidR="009F2042">
        <w:rPr>
          <w:lang w:eastAsia="ja-JP"/>
        </w:rPr>
        <w:t>eighbor</w:t>
      </w:r>
      <w:r w:rsidRPr="009F2042">
        <w:rPr>
          <w:lang w:eastAsia="ja-JP"/>
        </w:rPr>
        <w:t>s on the same carrier but also the non-IAB networks in adjacent spectrum/channels. This situation is typically not accounted for during present network planning.</w:t>
      </w:r>
    </w:p>
    <w:p w14:paraId="4A0DC25C" w14:textId="284777D8" w:rsidR="00CA0B0B" w:rsidRPr="009F2042" w:rsidRDefault="00CA0B0B" w:rsidP="00ED6838">
      <w:pPr>
        <w:pStyle w:val="Observation"/>
      </w:pPr>
      <w:bookmarkStart w:id="26" w:name="_Toc79180105"/>
      <w:r w:rsidRPr="009F2042">
        <w:t>For wide-area IAB-nodes using downlink slots for backhaul transmissions, network planning is sufficient for interference mitigation.</w:t>
      </w:r>
      <w:bookmarkEnd w:id="26"/>
    </w:p>
    <w:p w14:paraId="3C3363D3" w14:textId="16103A3C" w:rsidR="00CA0B0B" w:rsidRPr="009F2042" w:rsidRDefault="00CA0B0B" w:rsidP="00ED6838">
      <w:pPr>
        <w:pStyle w:val="Observation"/>
      </w:pPr>
      <w:bookmarkStart w:id="27" w:name="_Toc79180106"/>
      <w:r w:rsidRPr="009F2042">
        <w:t>For wide-area IAB-nodes using uplink slots for uplink backhaul, the most critical interference situation is when an IAB-MT transmission interferes with a UE transmission, and amounts to a gNB transmitting in UL slots.</w:t>
      </w:r>
      <w:bookmarkEnd w:id="27"/>
    </w:p>
    <w:p w14:paraId="4120FFD2" w14:textId="5A6EFC55" w:rsidR="00CA0B0B" w:rsidRPr="009F2042" w:rsidRDefault="00CA0B0B" w:rsidP="00ED6838">
      <w:pPr>
        <w:pStyle w:val="Observation"/>
      </w:pPr>
      <w:bookmarkStart w:id="28" w:name="_Toc79180107"/>
      <w:r w:rsidRPr="009F2042">
        <w:t>Wide-area IAB-nodes transmitting in UL slots would cause interference outside the IAB network, causing unexpected blind spots with reduced coverage, and would require more extensive network planning, complicating deployment flexibility, which may affect</w:t>
      </w:r>
      <w:r w:rsidRPr="009F2042" w:rsidDel="00CF4E2C">
        <w:t xml:space="preserve"> </w:t>
      </w:r>
      <w:r w:rsidRPr="009F2042">
        <w:t>overall network performance</w:t>
      </w:r>
      <w:r w:rsidR="00CF4E2C" w:rsidRPr="009F2042">
        <w:t>.</w:t>
      </w:r>
      <w:bookmarkEnd w:id="28"/>
    </w:p>
    <w:p w14:paraId="4585DD9B" w14:textId="16F16597" w:rsidR="002B77B4" w:rsidRPr="009F2042" w:rsidRDefault="002B77B4" w:rsidP="00ED6838">
      <w:pPr>
        <w:jc w:val="both"/>
        <w:rPr>
          <w:lang w:eastAsia="ja-JP"/>
        </w:rPr>
      </w:pPr>
      <w:r w:rsidRPr="009F2042">
        <w:rPr>
          <w:lang w:eastAsia="ja-JP"/>
        </w:rPr>
        <w:t xml:space="preserve">The use-case for the local-area IAB-node is to boost capacity within an already existing cell served by a donor or parent IAB-node. Local-area IAB networks can be </w:t>
      </w:r>
      <w:proofErr w:type="gramStart"/>
      <w:r w:rsidRPr="009F2042">
        <w:rPr>
          <w:lang w:eastAsia="ja-JP"/>
        </w:rPr>
        <w:t>fairly unplanned</w:t>
      </w:r>
      <w:proofErr w:type="gramEnd"/>
      <w:r w:rsidRPr="009F2042">
        <w:rPr>
          <w:lang w:eastAsia="ja-JP"/>
        </w:rPr>
        <w:t xml:space="preserve">, and the IAB-MT transmit power may range between those of UEs and gNBs, both of which are properties requiring power control. For this reason, </w:t>
      </w:r>
      <w:r w:rsidRPr="009F2042">
        <w:rPr>
          <w:lang w:eastAsia="ja-JP"/>
        </w:rPr>
        <w:lastRenderedPageBreak/>
        <w:t xml:space="preserve">the IAB-MT has higher dynamic range (10 dB, according to </w:t>
      </w:r>
      <w:r w:rsidR="00A62ECB" w:rsidRPr="009F2042">
        <w:rPr>
          <w:lang w:eastAsia="ja-JP"/>
        </w:rPr>
        <w:fldChar w:fldCharType="begin"/>
      </w:r>
      <w:r w:rsidR="00A62ECB" w:rsidRPr="009F2042">
        <w:rPr>
          <w:lang w:eastAsia="ja-JP"/>
        </w:rPr>
        <w:instrText xml:space="preserve"> REF _Ref79015175 \r \h </w:instrText>
      </w:r>
      <w:r w:rsidR="00986820" w:rsidRPr="009F2042">
        <w:rPr>
          <w:lang w:eastAsia="ja-JP"/>
        </w:rPr>
        <w:instrText xml:space="preserve"> \* MERGEFORMAT </w:instrText>
      </w:r>
      <w:r w:rsidR="00A62ECB" w:rsidRPr="009F2042">
        <w:rPr>
          <w:lang w:eastAsia="ja-JP"/>
        </w:rPr>
      </w:r>
      <w:r w:rsidR="00A62ECB" w:rsidRPr="009F2042">
        <w:rPr>
          <w:lang w:eastAsia="ja-JP"/>
        </w:rPr>
        <w:fldChar w:fldCharType="separate"/>
      </w:r>
      <w:r w:rsidR="00BC7F0D">
        <w:rPr>
          <w:lang w:eastAsia="ja-JP"/>
        </w:rPr>
        <w:t>[5]</w:t>
      </w:r>
      <w:r w:rsidR="00A62ECB" w:rsidRPr="009F2042">
        <w:rPr>
          <w:lang w:eastAsia="ja-JP"/>
        </w:rPr>
        <w:fldChar w:fldCharType="end"/>
      </w:r>
      <w:r w:rsidRPr="009F2042">
        <w:rPr>
          <w:lang w:eastAsia="ja-JP"/>
        </w:rPr>
        <w:t>) and should be capable of more sophisticated power control. In such cases, interference measurements may be required to minimize interference, and, because of the UE-like characteristics of the IAB-MT, backhaul uplink operation can advantageously be performed in uplink slots. However, it should be noted that, even with a local-area IAB, still, the DU transmission within UL slots, as it may occur in simultaneous Tx/Tx operation, can cause an unacceptable interference to the network.</w:t>
      </w:r>
    </w:p>
    <w:p w14:paraId="3B9352BC" w14:textId="4CD0B06B" w:rsidR="002B77B4" w:rsidRPr="009F2042" w:rsidRDefault="002B77B4" w:rsidP="00ED6838">
      <w:pPr>
        <w:jc w:val="both"/>
        <w:rPr>
          <w:lang w:eastAsia="ja-JP"/>
        </w:rPr>
      </w:pPr>
      <w:r w:rsidRPr="009F2042">
        <w:rPr>
          <w:lang w:eastAsia="ja-JP"/>
        </w:rPr>
        <w:t xml:space="preserve">The above presents our view of the main differences between wide-area and local-area IAB-nodes as well as using DL or UL slots for backhauling. Particularly, as discussed in our previous contribution (see </w:t>
      </w:r>
      <w:r w:rsidR="00370026" w:rsidRPr="009F2042">
        <w:rPr>
          <w:lang w:eastAsia="ja-JP"/>
        </w:rPr>
        <w:fldChar w:fldCharType="begin"/>
      </w:r>
      <w:r w:rsidR="00370026" w:rsidRPr="009F2042">
        <w:rPr>
          <w:lang w:eastAsia="ja-JP"/>
        </w:rPr>
        <w:instrText xml:space="preserve"> REF _Ref79015341 \r \h </w:instrText>
      </w:r>
      <w:r w:rsidR="00986820" w:rsidRPr="009F2042">
        <w:rPr>
          <w:lang w:eastAsia="ja-JP"/>
        </w:rPr>
        <w:instrText xml:space="preserve"> \* MERGEFORMAT </w:instrText>
      </w:r>
      <w:r w:rsidR="00370026" w:rsidRPr="009F2042">
        <w:rPr>
          <w:lang w:eastAsia="ja-JP"/>
        </w:rPr>
      </w:r>
      <w:r w:rsidR="00370026" w:rsidRPr="009F2042">
        <w:rPr>
          <w:lang w:eastAsia="ja-JP"/>
        </w:rPr>
        <w:fldChar w:fldCharType="separate"/>
      </w:r>
      <w:r w:rsidR="00BC7F0D">
        <w:rPr>
          <w:lang w:eastAsia="ja-JP"/>
        </w:rPr>
        <w:t>[7]</w:t>
      </w:r>
      <w:r w:rsidR="00370026" w:rsidRPr="009F2042">
        <w:rPr>
          <w:lang w:eastAsia="ja-JP"/>
        </w:rPr>
        <w:fldChar w:fldCharType="end"/>
      </w:r>
      <w:r w:rsidRPr="009F2042">
        <w:rPr>
          <w:lang w:eastAsia="ja-JP"/>
        </w:rPr>
        <w:t>, Table 5 and Fig. 7), from an interference point of view, the worst cases are identified to be wide-area nodes backhauling in UL slots where, for instance, the MT to DU interference may affect the QoS of the UE connections severely.</w:t>
      </w:r>
    </w:p>
    <w:p w14:paraId="1DD9BE75" w14:textId="77777777" w:rsidR="002B77B4" w:rsidRPr="009F2042" w:rsidRDefault="002B77B4" w:rsidP="004C330D">
      <w:pPr>
        <w:jc w:val="both"/>
      </w:pPr>
      <w:r w:rsidRPr="009F2042">
        <w:rPr>
          <w:lang w:eastAsia="ja-JP"/>
        </w:rPr>
        <w:t xml:space="preserve">It should be noted that the multiplexing Case A and Case B will lead to substantially different interference effects. </w:t>
      </w:r>
      <w:r w:rsidRPr="009F2042">
        <w:t xml:space="preserve">Therefore, </w:t>
      </w:r>
      <w:proofErr w:type="gramStart"/>
      <w:r w:rsidRPr="009F2042">
        <w:t>in order to</w:t>
      </w:r>
      <w:proofErr w:type="gramEnd"/>
      <w:r w:rsidRPr="009F2042">
        <w:t xml:space="preserve"> limit the interference effects, one needs to determine if such simultaneous operations are performed in DL or UL slots, as well as if the slots are only restricted to backhaul traffic or also includes access traffic. These points, however, are currently not clear in the discussions, and require clarifications.</w:t>
      </w:r>
    </w:p>
    <w:p w14:paraId="456C3EE8" w14:textId="335833EB" w:rsidR="002B77B4" w:rsidRPr="009F2042" w:rsidRDefault="002B77B4" w:rsidP="004C330D">
      <w:pPr>
        <w:jc w:val="both"/>
      </w:pPr>
      <w:r w:rsidRPr="009F2042">
        <w:t>The above discussion leads to the following proposals.</w:t>
      </w:r>
    </w:p>
    <w:p w14:paraId="07464B74" w14:textId="77777777" w:rsidR="00671574" w:rsidRPr="009F2042" w:rsidRDefault="00671574" w:rsidP="00ED6838">
      <w:pPr>
        <w:pStyle w:val="Proposal"/>
      </w:pPr>
      <w:bookmarkStart w:id="29" w:name="_Toc79180119"/>
      <w:r w:rsidRPr="009F2042">
        <w:t>RAN1 should focus on the cases where interference is more severe than in a non-IAB network.</w:t>
      </w:r>
      <w:bookmarkEnd w:id="29"/>
    </w:p>
    <w:p w14:paraId="1C735FA9" w14:textId="77777777" w:rsidR="00671574" w:rsidRPr="009F2042" w:rsidRDefault="00671574" w:rsidP="00ED6838">
      <w:pPr>
        <w:pStyle w:val="Proposal"/>
      </w:pPr>
      <w:bookmarkStart w:id="30" w:name="_Toc79180120"/>
      <w:r w:rsidRPr="009F2042">
        <w:t>To identify and address relevant interference scenarios, RAN1 should agree on:</w:t>
      </w:r>
      <w:bookmarkEnd w:id="30"/>
    </w:p>
    <w:p w14:paraId="3BB10694" w14:textId="77777777" w:rsidR="00671574" w:rsidRPr="009F2042" w:rsidRDefault="00671574" w:rsidP="00ED6838">
      <w:pPr>
        <w:pStyle w:val="Proposal"/>
        <w:numPr>
          <w:ilvl w:val="1"/>
          <w:numId w:val="3"/>
        </w:numPr>
      </w:pPr>
      <w:bookmarkStart w:id="31" w:name="_Toc79180121"/>
      <w:r w:rsidRPr="009F2042">
        <w:t>Whether multiplexing Case-A and Case-B should take place in DL and/or UL slots for wide-area IAB-nodes,</w:t>
      </w:r>
      <w:bookmarkEnd w:id="31"/>
    </w:p>
    <w:p w14:paraId="5FA295DB" w14:textId="77777777" w:rsidR="00671574" w:rsidRPr="009F2042" w:rsidRDefault="00671574" w:rsidP="00ED6838">
      <w:pPr>
        <w:pStyle w:val="Proposal"/>
        <w:numPr>
          <w:ilvl w:val="1"/>
          <w:numId w:val="3"/>
        </w:numPr>
      </w:pPr>
      <w:bookmarkStart w:id="32" w:name="_Toc79180122"/>
      <w:r w:rsidRPr="009F2042">
        <w:t>Whether backhaul traffic is separated from or mixed with access traffic, and,</w:t>
      </w:r>
      <w:bookmarkEnd w:id="32"/>
    </w:p>
    <w:p w14:paraId="0D07B908" w14:textId="4A2A893D" w:rsidR="00671574" w:rsidRPr="009F2042" w:rsidRDefault="00671574" w:rsidP="00ED6838">
      <w:pPr>
        <w:pStyle w:val="Proposal"/>
        <w:numPr>
          <w:ilvl w:val="1"/>
          <w:numId w:val="3"/>
        </w:numPr>
      </w:pPr>
      <w:bookmarkStart w:id="33" w:name="_Toc79180123"/>
      <w:r w:rsidRPr="009F2042">
        <w:t>Whether the interference scenario is relevant for wide-area and/or local-area nodes.</w:t>
      </w:r>
      <w:bookmarkEnd w:id="33"/>
    </w:p>
    <w:p w14:paraId="20167E79" w14:textId="604753A1" w:rsidR="009903AD" w:rsidRPr="009F2042" w:rsidRDefault="002B77B4" w:rsidP="00ED6838">
      <w:pPr>
        <w:pStyle w:val="Proposal"/>
      </w:pPr>
      <w:bookmarkStart w:id="34" w:name="_Toc79180124"/>
      <w:r w:rsidRPr="009F2042">
        <w:t>A wide-area IAB-DU only transmits in DL slots.</w:t>
      </w:r>
      <w:bookmarkEnd w:id="34"/>
    </w:p>
    <w:p w14:paraId="4F6CD790" w14:textId="77777777" w:rsidR="009903AD" w:rsidRPr="009F2042" w:rsidRDefault="002F5402" w:rsidP="00ED6838">
      <w:pPr>
        <w:pStyle w:val="Proposal"/>
      </w:pPr>
      <w:bookmarkStart w:id="35" w:name="_Toc79180125"/>
      <w:r w:rsidRPr="009F2042">
        <w:t xml:space="preserve">Backhaul </w:t>
      </w:r>
      <w:r w:rsidR="00416581" w:rsidRPr="009F2042">
        <w:t xml:space="preserve">UL </w:t>
      </w:r>
      <w:r w:rsidRPr="009F2042">
        <w:t xml:space="preserve">traffic is assumed to be separated from access </w:t>
      </w:r>
      <w:r w:rsidR="00416581" w:rsidRPr="009F2042">
        <w:t xml:space="preserve">UL </w:t>
      </w:r>
      <w:r w:rsidRPr="009F2042">
        <w:t>traffic.</w:t>
      </w:r>
      <w:bookmarkEnd w:id="35"/>
    </w:p>
    <w:p w14:paraId="293B1A11" w14:textId="105CB3DD" w:rsidR="009B1847" w:rsidRPr="009F2042" w:rsidRDefault="005204CE" w:rsidP="00ED6838">
      <w:pPr>
        <w:pStyle w:val="Proposal"/>
      </w:pPr>
      <w:bookmarkStart w:id="36" w:name="_Toc79180126"/>
      <w:proofErr w:type="gramStart"/>
      <w:r w:rsidRPr="009F2042">
        <w:t>Similar to</w:t>
      </w:r>
      <w:proofErr w:type="gramEnd"/>
      <w:r w:rsidRPr="009F2042">
        <w:t xml:space="preserve"> gNBs, interference management between wide-area IABs operating backhaul links in DL slots is handled by network planning.</w:t>
      </w:r>
      <w:bookmarkEnd w:id="36"/>
    </w:p>
    <w:p w14:paraId="51FFB49D" w14:textId="77777777" w:rsidR="002B77B4" w:rsidRPr="009F2042" w:rsidRDefault="002B77B4" w:rsidP="004C330D">
      <w:pPr>
        <w:jc w:val="both"/>
      </w:pPr>
      <w:r w:rsidRPr="009F2042">
        <w:t>Although network planning can handle the interference, at least in wide-area IAB, it is still interesting to study different interference scenarios and their possible measurement techniques one by one, as they may be discussed in the meeting:</w:t>
      </w:r>
    </w:p>
    <w:p w14:paraId="09B96BD9" w14:textId="726665FB" w:rsidR="00777EAF" w:rsidRPr="00C45FC0" w:rsidRDefault="00DF014C" w:rsidP="00ED6838">
      <w:pPr>
        <w:pStyle w:val="ListParagraph"/>
        <w:numPr>
          <w:ilvl w:val="0"/>
          <w:numId w:val="31"/>
        </w:numPr>
        <w:jc w:val="both"/>
        <w:rPr>
          <w:rFonts w:ascii="Arial" w:hAnsi="Arial" w:cs="Arial"/>
          <w:sz w:val="20"/>
          <w:szCs w:val="20"/>
          <w:lang w:val="en-US"/>
        </w:rPr>
      </w:pPr>
      <w:r w:rsidRPr="00DA25A7">
        <w:rPr>
          <w:rFonts w:ascii="Arial" w:hAnsi="Arial" w:cs="Arial"/>
          <w:b/>
          <w:bCs/>
          <w:sz w:val="20"/>
          <w:szCs w:val="20"/>
          <w:lang w:val="en-US"/>
        </w:rPr>
        <w:t>DU-to-DU:</w:t>
      </w:r>
      <w:r w:rsidRPr="00C45FC0">
        <w:rPr>
          <w:rFonts w:ascii="Arial" w:hAnsi="Arial" w:cs="Arial"/>
          <w:sz w:val="20"/>
          <w:szCs w:val="20"/>
          <w:lang w:val="en-US"/>
        </w:rPr>
        <w:t xml:space="preserve"> We believe that </w:t>
      </w:r>
      <w:proofErr w:type="gramStart"/>
      <w:r w:rsidRPr="00C45FC0">
        <w:rPr>
          <w:rFonts w:ascii="Arial" w:hAnsi="Arial" w:cs="Arial"/>
          <w:sz w:val="20"/>
          <w:szCs w:val="20"/>
          <w:lang w:val="en-US"/>
        </w:rPr>
        <w:t>no</w:t>
      </w:r>
      <w:proofErr w:type="gramEnd"/>
      <w:r w:rsidRPr="00C45FC0">
        <w:rPr>
          <w:rFonts w:ascii="Arial" w:hAnsi="Arial" w:cs="Arial"/>
          <w:sz w:val="20"/>
          <w:szCs w:val="20"/>
          <w:lang w:val="en-US"/>
        </w:rPr>
        <w:t xml:space="preserve"> DU-to-DU interference measurement and reporting mechanisms need to be specified, as the DU-to-DU interference should be avoided by network planning and configuration. Here, it is interesting to mention that, during the Rel-16 work-item on CLI, RAN4 has carried out simulations and found that for macro scenarios, considerable performance degradation is observed due to BS-to-BS interference, suggesting that such scenarios should be avoided, </w:t>
      </w:r>
      <w:r w:rsidR="000D77A1" w:rsidRPr="00C45FC0">
        <w:rPr>
          <w:rFonts w:ascii="Arial" w:hAnsi="Arial" w:cs="Arial"/>
          <w:sz w:val="20"/>
          <w:szCs w:val="20"/>
          <w:lang w:val="en-US"/>
        </w:rPr>
        <w:t xml:space="preserve">cf. </w:t>
      </w:r>
      <w:r w:rsidRPr="00C45FC0">
        <w:rPr>
          <w:rFonts w:ascii="Arial" w:hAnsi="Arial" w:cs="Arial"/>
          <w:sz w:val="20"/>
          <w:szCs w:val="20"/>
          <w:lang w:val="en-US"/>
        </w:rPr>
        <w:t xml:space="preserve">TR 38.828 </w:t>
      </w:r>
      <w:r w:rsidR="00C60C7E" w:rsidRPr="00C45FC0">
        <w:rPr>
          <w:rFonts w:ascii="Arial" w:hAnsi="Arial" w:cs="Arial"/>
          <w:sz w:val="20"/>
          <w:szCs w:val="20"/>
          <w:lang w:val="en-US"/>
        </w:rPr>
        <w:fldChar w:fldCharType="begin"/>
      </w:r>
      <w:r w:rsidR="00C60C7E" w:rsidRPr="00C45FC0">
        <w:rPr>
          <w:rFonts w:ascii="Arial" w:hAnsi="Arial" w:cs="Arial"/>
          <w:sz w:val="20"/>
          <w:szCs w:val="20"/>
          <w:lang w:val="en-GB"/>
        </w:rPr>
        <w:instrText xml:space="preserve"> REF _Ref79015443 \r \h </w:instrText>
      </w:r>
      <w:r w:rsidR="00986820" w:rsidRPr="00C45FC0">
        <w:rPr>
          <w:rFonts w:ascii="Arial" w:hAnsi="Arial" w:cs="Arial"/>
          <w:sz w:val="20"/>
          <w:szCs w:val="20"/>
          <w:lang w:val="en-GB"/>
        </w:rPr>
        <w:instrText xml:space="preserve"> \* MERGEFORMAT </w:instrText>
      </w:r>
      <w:r w:rsidR="00C60C7E" w:rsidRPr="00C45FC0">
        <w:rPr>
          <w:rFonts w:ascii="Arial" w:hAnsi="Arial" w:cs="Arial"/>
          <w:sz w:val="20"/>
          <w:szCs w:val="20"/>
          <w:lang w:val="en-US"/>
        </w:rPr>
      </w:r>
      <w:r w:rsidR="00C60C7E" w:rsidRPr="00C45FC0">
        <w:rPr>
          <w:rFonts w:ascii="Arial" w:hAnsi="Arial" w:cs="Arial"/>
          <w:sz w:val="20"/>
          <w:szCs w:val="20"/>
          <w:lang w:val="en-US"/>
        </w:rPr>
        <w:fldChar w:fldCharType="separate"/>
      </w:r>
      <w:r w:rsidR="00BC7F0D">
        <w:rPr>
          <w:rFonts w:ascii="Arial" w:hAnsi="Arial" w:cs="Arial"/>
          <w:sz w:val="20"/>
          <w:szCs w:val="20"/>
          <w:lang w:val="en-GB"/>
        </w:rPr>
        <w:t>[8]</w:t>
      </w:r>
      <w:r w:rsidR="00C60C7E" w:rsidRPr="00C45FC0">
        <w:rPr>
          <w:rFonts w:ascii="Arial" w:hAnsi="Arial" w:cs="Arial"/>
          <w:sz w:val="20"/>
          <w:szCs w:val="20"/>
          <w:lang w:val="en-US"/>
        </w:rPr>
        <w:fldChar w:fldCharType="end"/>
      </w:r>
      <w:r w:rsidRPr="00C45FC0">
        <w:rPr>
          <w:rFonts w:ascii="Arial" w:hAnsi="Arial" w:cs="Arial"/>
          <w:sz w:val="20"/>
          <w:szCs w:val="20"/>
          <w:lang w:val="en-US"/>
        </w:rPr>
        <w:t xml:space="preserve">. In this way, this is a low priority discussion, and it is preferred to concentrate on more important aspects of the WID. This is </w:t>
      </w:r>
      <w:r w:rsidR="00AF29A8" w:rsidRPr="00C45FC0">
        <w:rPr>
          <w:rFonts w:ascii="Arial" w:hAnsi="Arial" w:cs="Arial"/>
          <w:sz w:val="20"/>
          <w:szCs w:val="20"/>
          <w:lang w:val="en-US"/>
        </w:rPr>
        <w:t>especially</w:t>
      </w:r>
      <w:r w:rsidRPr="00C45FC0">
        <w:rPr>
          <w:rFonts w:ascii="Arial" w:hAnsi="Arial" w:cs="Arial"/>
          <w:sz w:val="20"/>
          <w:szCs w:val="20"/>
          <w:lang w:val="en-US"/>
        </w:rPr>
        <w:t xml:space="preserve"> because there are only few meetings left and there are still many important issues unaddressed.</w:t>
      </w:r>
    </w:p>
    <w:p w14:paraId="6D0780EE" w14:textId="77777777" w:rsidR="00B2263A" w:rsidRPr="00C45FC0" w:rsidRDefault="00E41416" w:rsidP="00ED6838">
      <w:pPr>
        <w:pStyle w:val="ListParagraph"/>
        <w:numPr>
          <w:ilvl w:val="0"/>
          <w:numId w:val="31"/>
        </w:numPr>
        <w:jc w:val="both"/>
        <w:rPr>
          <w:rFonts w:ascii="Arial" w:hAnsi="Arial" w:cs="Arial"/>
          <w:sz w:val="20"/>
          <w:szCs w:val="20"/>
          <w:lang w:val="en-US" w:eastAsia="ja-JP"/>
        </w:rPr>
      </w:pPr>
      <w:r w:rsidRPr="00DA25A7">
        <w:rPr>
          <w:rFonts w:ascii="Arial" w:hAnsi="Arial" w:cs="Arial"/>
          <w:b/>
          <w:bCs/>
          <w:sz w:val="20"/>
          <w:szCs w:val="20"/>
          <w:lang w:val="en-US" w:eastAsia="ja-JP"/>
        </w:rPr>
        <w:t>MT-to-MT:</w:t>
      </w:r>
      <w:r w:rsidRPr="00C45FC0">
        <w:rPr>
          <w:rFonts w:ascii="Arial" w:hAnsi="Arial" w:cs="Arial"/>
          <w:sz w:val="20"/>
          <w:szCs w:val="20"/>
          <w:lang w:val="en-US" w:eastAsia="ja-JP"/>
        </w:rPr>
        <w:t xml:space="preserve"> Even for a local-area IAB, the UE-to-UE interference management mechanism introduced in Rel-16 can be reused for MT-to-MT CLI. Moreover, given that the MT transmission is always in the same direction, interference can be well avoided by network planning. Hence, MT-to-MT interference discussion should have low priority.</w:t>
      </w:r>
    </w:p>
    <w:p w14:paraId="4D020568" w14:textId="3BD9C0AB" w:rsidR="002B77B4" w:rsidRPr="00C45FC0" w:rsidRDefault="00E41416" w:rsidP="004C330D">
      <w:pPr>
        <w:pStyle w:val="ListParagraph"/>
        <w:numPr>
          <w:ilvl w:val="0"/>
          <w:numId w:val="31"/>
        </w:numPr>
        <w:jc w:val="both"/>
        <w:rPr>
          <w:rFonts w:ascii="Arial" w:hAnsi="Arial" w:cs="Arial"/>
          <w:sz w:val="20"/>
          <w:szCs w:val="20"/>
          <w:lang w:val="en-US" w:eastAsia="ja-JP"/>
        </w:rPr>
      </w:pPr>
      <w:r w:rsidRPr="00DA25A7">
        <w:rPr>
          <w:rFonts w:ascii="Arial" w:hAnsi="Arial" w:cs="Arial"/>
          <w:b/>
          <w:bCs/>
          <w:sz w:val="20"/>
          <w:szCs w:val="20"/>
          <w:lang w:val="en-US" w:eastAsia="ja-JP"/>
        </w:rPr>
        <w:t>DU-to-MT and MT-to-DU:</w:t>
      </w:r>
      <w:r w:rsidRPr="00C45FC0">
        <w:rPr>
          <w:rFonts w:ascii="Arial" w:hAnsi="Arial" w:cs="Arial"/>
          <w:sz w:val="20"/>
          <w:szCs w:val="20"/>
          <w:lang w:val="en-US" w:eastAsia="ja-JP"/>
        </w:rPr>
        <w:t xml:space="preserve"> For DU-to-MT, interference can be measured by downlink reference signals, e.g., SSBs, where, for instance, the IAB node can use the SSBs from the parent and n</w:t>
      </w:r>
      <w:r w:rsidR="009F2042" w:rsidRPr="00C45FC0">
        <w:rPr>
          <w:rFonts w:ascii="Arial" w:hAnsi="Arial" w:cs="Arial"/>
          <w:sz w:val="20"/>
          <w:szCs w:val="20"/>
          <w:lang w:val="en-US" w:eastAsia="ja-JP"/>
        </w:rPr>
        <w:t>eighbor</w:t>
      </w:r>
      <w:r w:rsidRPr="00C45FC0">
        <w:rPr>
          <w:rFonts w:ascii="Arial" w:hAnsi="Arial" w:cs="Arial"/>
          <w:sz w:val="20"/>
          <w:szCs w:val="20"/>
          <w:lang w:val="en-US" w:eastAsia="ja-JP"/>
        </w:rPr>
        <w:t xml:space="preserve"> nodes to determine a preferred beam (</w:t>
      </w:r>
      <w:proofErr w:type="spellStart"/>
      <w:r w:rsidRPr="00C45FC0">
        <w:rPr>
          <w:rFonts w:ascii="Arial" w:hAnsi="Arial" w:cs="Arial"/>
          <w:sz w:val="20"/>
          <w:szCs w:val="20"/>
          <w:lang w:val="en-US" w:eastAsia="ja-JP"/>
        </w:rPr>
        <w:t>w.r.t.</w:t>
      </w:r>
      <w:proofErr w:type="spellEnd"/>
      <w:r w:rsidRPr="00C45FC0">
        <w:rPr>
          <w:rFonts w:ascii="Arial" w:hAnsi="Arial" w:cs="Arial"/>
          <w:sz w:val="20"/>
          <w:szCs w:val="20"/>
          <w:lang w:val="en-US" w:eastAsia="ja-JP"/>
        </w:rPr>
        <w:t xml:space="preserve"> SINR) towards the parent node. Then, assuming reciprocity, MT-to-DU interference can be managed jointly with DU-to-MT interference where, with an MT selecting the beam that minimizes SINR from surrounding DUs, it minimizes its own interference on surrounding DUs. This is especially relevant because, compared to the cases with UEs, the interference is of a less problem with MTs, since the MT follows a static, one-directional transmission, and the interference can be well handled by network planning.</w:t>
      </w:r>
    </w:p>
    <w:p w14:paraId="619632C2" w14:textId="074A5308" w:rsidR="002B77B4" w:rsidRPr="009F2042" w:rsidRDefault="002B77B4" w:rsidP="004C330D">
      <w:pPr>
        <w:spacing w:before="240"/>
        <w:jc w:val="both"/>
        <w:rPr>
          <w:lang w:eastAsia="ja-JP"/>
        </w:rPr>
      </w:pPr>
      <w:r w:rsidRPr="009F2042">
        <w:rPr>
          <w:lang w:eastAsia="ja-JP"/>
        </w:rPr>
        <w:lastRenderedPageBreak/>
        <w:t>To summarize, existing interference measurement mechanisms can handle different interference scenarios and no IAB-specific specification is required. As a result, any specification should be optional.</w:t>
      </w:r>
    </w:p>
    <w:p w14:paraId="44393926" w14:textId="43A5EAD1" w:rsidR="009F6F2D" w:rsidRPr="009F2042" w:rsidRDefault="009F6F2D" w:rsidP="00ED6838">
      <w:pPr>
        <w:pStyle w:val="Proposal"/>
      </w:pPr>
      <w:bookmarkStart w:id="37" w:name="_Toc79180127"/>
      <w:r w:rsidRPr="009F2042">
        <w:rPr>
          <w:lang w:eastAsia="ja-JP"/>
        </w:rPr>
        <w:t>DU-to-DU interference measurement and reporting can be handled by implementation, and no specification is required.</w:t>
      </w:r>
      <w:bookmarkEnd w:id="37"/>
    </w:p>
    <w:p w14:paraId="757FC131" w14:textId="3DBEA7F1" w:rsidR="002B77B4" w:rsidRPr="009F2042" w:rsidRDefault="009F6F2D" w:rsidP="004C330D">
      <w:pPr>
        <w:pStyle w:val="Proposal"/>
      </w:pPr>
      <w:bookmarkStart w:id="38" w:name="_Toc79180128"/>
      <w:r w:rsidRPr="009F2042">
        <w:rPr>
          <w:lang w:eastAsia="ja-JP"/>
        </w:rPr>
        <w:t xml:space="preserve">Since some configurations do not require specification of additional interference schemes, any specification of additional interference measurement </w:t>
      </w:r>
      <w:r w:rsidR="00ED455F" w:rsidRPr="009F2042">
        <w:rPr>
          <w:lang w:eastAsia="ja-JP"/>
        </w:rPr>
        <w:t>is</w:t>
      </w:r>
      <w:r w:rsidRPr="009F2042">
        <w:rPr>
          <w:lang w:eastAsia="ja-JP"/>
        </w:rPr>
        <w:t xml:space="preserve"> optional.</w:t>
      </w:r>
      <w:bookmarkStart w:id="39" w:name="_Toc79153831"/>
      <w:bookmarkStart w:id="40" w:name="_Toc79162881"/>
      <w:bookmarkStart w:id="41" w:name="_Toc79165750"/>
      <w:bookmarkEnd w:id="38"/>
      <w:bookmarkEnd w:id="39"/>
      <w:bookmarkEnd w:id="40"/>
      <w:bookmarkEnd w:id="41"/>
    </w:p>
    <w:p w14:paraId="4123663F" w14:textId="4527C4B2" w:rsidR="002B77B4" w:rsidRPr="009F2042" w:rsidRDefault="002B77B4" w:rsidP="00ED6838">
      <w:pPr>
        <w:jc w:val="both"/>
        <w:rPr>
          <w:lang w:eastAsia="ja-JP"/>
        </w:rPr>
      </w:pPr>
      <w:r w:rsidRPr="009F2042">
        <w:rPr>
          <w:lang w:eastAsia="ja-JP"/>
        </w:rPr>
        <w:t xml:space="preserve">In RAN1#105-e Agenda </w:t>
      </w:r>
      <w:r w:rsidR="00EA7BF8" w:rsidRPr="009F2042">
        <w:rPr>
          <w:lang w:eastAsia="ja-JP"/>
        </w:rPr>
        <w:t>I</w:t>
      </w:r>
      <w:r w:rsidRPr="009F2042">
        <w:rPr>
          <w:lang w:eastAsia="ja-JP"/>
        </w:rPr>
        <w:t xml:space="preserve">tem 8.10.1, the following objectives of </w:t>
      </w:r>
      <w:r w:rsidRPr="009F2042">
        <w:rPr>
          <w:i/>
          <w:lang w:eastAsia="ja-JP"/>
        </w:rPr>
        <w:t>spatial domain</w:t>
      </w:r>
      <w:r w:rsidRPr="009F2042">
        <w:rPr>
          <w:lang w:eastAsia="ja-JP"/>
        </w:rPr>
        <w:t xml:space="preserve"> resource multiplexing were agreed </w:t>
      </w:r>
      <w:r w:rsidR="00E13001" w:rsidRPr="009F2042">
        <w:rPr>
          <w:lang w:eastAsia="ja-JP"/>
        </w:rPr>
        <w:fldChar w:fldCharType="begin"/>
      </w:r>
      <w:r w:rsidR="00E13001" w:rsidRPr="009F2042">
        <w:rPr>
          <w:lang w:eastAsia="ja-JP"/>
        </w:rPr>
        <w:instrText xml:space="preserve"> REF _Ref77157742 \r \h </w:instrText>
      </w:r>
      <w:r w:rsidR="00986820" w:rsidRPr="009F2042">
        <w:rPr>
          <w:lang w:eastAsia="ja-JP"/>
        </w:rPr>
        <w:instrText xml:space="preserve"> \* MERGEFORMAT </w:instrText>
      </w:r>
      <w:r w:rsidR="00E13001" w:rsidRPr="009F2042">
        <w:rPr>
          <w:lang w:eastAsia="ja-JP"/>
        </w:rPr>
      </w:r>
      <w:r w:rsidR="00E13001" w:rsidRPr="009F2042">
        <w:rPr>
          <w:lang w:eastAsia="ja-JP"/>
        </w:rPr>
        <w:fldChar w:fldCharType="separate"/>
      </w:r>
      <w:r w:rsidR="00BC7F0D">
        <w:rPr>
          <w:lang w:eastAsia="ja-JP"/>
        </w:rPr>
        <w:t>[3]</w:t>
      </w:r>
      <w:r w:rsidR="00E13001" w:rsidRPr="009F2042">
        <w:rPr>
          <w:lang w:eastAsia="ja-JP"/>
        </w:rPr>
        <w:fldChar w:fldCharType="end"/>
      </w:r>
      <w:r w:rsidRPr="009F2042">
        <w:rPr>
          <w:lang w:eastAsia="ja-JP"/>
        </w:rPr>
        <w:t>:</w:t>
      </w:r>
    </w:p>
    <w:tbl>
      <w:tblPr>
        <w:tblStyle w:val="TableGrid"/>
        <w:tblW w:w="0" w:type="auto"/>
        <w:tblLook w:val="04A0" w:firstRow="1" w:lastRow="0" w:firstColumn="1" w:lastColumn="0" w:noHBand="0" w:noVBand="1"/>
      </w:tblPr>
      <w:tblGrid>
        <w:gridCol w:w="9629"/>
      </w:tblGrid>
      <w:tr w:rsidR="00242907" w:rsidRPr="009F2042" w14:paraId="48088295" w14:textId="77777777" w:rsidTr="00242907">
        <w:tc>
          <w:tcPr>
            <w:tcW w:w="9629" w:type="dxa"/>
          </w:tcPr>
          <w:p w14:paraId="098664C0" w14:textId="77777777" w:rsidR="00242907" w:rsidRPr="009F2042" w:rsidRDefault="00242907" w:rsidP="004C330D">
            <w:pPr>
              <w:jc w:val="both"/>
              <w:rPr>
                <w:rFonts w:cs="Arial"/>
                <w:b/>
                <w:bCs/>
                <w:sz w:val="20"/>
                <w:szCs w:val="20"/>
                <w:lang w:eastAsia="ja-JP"/>
              </w:rPr>
            </w:pPr>
            <w:r w:rsidRPr="009F2042">
              <w:rPr>
                <w:rFonts w:cs="Arial"/>
                <w:sz w:val="20"/>
                <w:szCs w:val="20"/>
                <w:highlight w:val="green"/>
                <w:lang w:eastAsia="ja-JP"/>
              </w:rPr>
              <w:t>Agreement</w:t>
            </w:r>
          </w:p>
          <w:p w14:paraId="03D3CC55" w14:textId="77777777" w:rsidR="00242907" w:rsidRPr="009F2042" w:rsidRDefault="00242907" w:rsidP="004C330D">
            <w:pPr>
              <w:jc w:val="both"/>
              <w:rPr>
                <w:rFonts w:cs="Arial"/>
                <w:sz w:val="20"/>
                <w:szCs w:val="20"/>
                <w:lang w:eastAsia="ja-JP"/>
              </w:rPr>
            </w:pPr>
            <w:r w:rsidRPr="009F2042">
              <w:rPr>
                <w:rFonts w:cs="Arial"/>
                <w:sz w:val="20"/>
                <w:szCs w:val="20"/>
                <w:lang w:eastAsia="ja-JP"/>
              </w:rPr>
              <w:t xml:space="preserve">In case of simultaneous MT/DU operation, </w:t>
            </w:r>
          </w:p>
          <w:p w14:paraId="136E7EAA" w14:textId="77777777" w:rsidR="00475ADD" w:rsidRPr="009F2042" w:rsidRDefault="00242907" w:rsidP="004C330D">
            <w:pPr>
              <w:pStyle w:val="ListParagraph"/>
              <w:numPr>
                <w:ilvl w:val="0"/>
                <w:numId w:val="31"/>
              </w:numPr>
              <w:jc w:val="both"/>
              <w:rPr>
                <w:rFonts w:ascii="Arial" w:hAnsi="Arial" w:cs="Arial"/>
                <w:sz w:val="20"/>
                <w:szCs w:val="20"/>
                <w:lang w:val="en-US" w:eastAsia="ja-JP"/>
              </w:rPr>
            </w:pPr>
            <w:r w:rsidRPr="009F2042">
              <w:rPr>
                <w:rFonts w:ascii="Arial" w:hAnsi="Arial" w:cs="Arial"/>
                <w:sz w:val="20"/>
                <w:szCs w:val="20"/>
                <w:lang w:val="en-US" w:eastAsia="ja-JP"/>
              </w:rPr>
              <w:t>the parent node can dynamically indicate to the child node at least a set of restricted beams at the IAB-DU of the child node</w:t>
            </w:r>
          </w:p>
          <w:p w14:paraId="0CC87666" w14:textId="77777777" w:rsidR="00855669" w:rsidRPr="009F2042" w:rsidRDefault="00242907" w:rsidP="004C330D">
            <w:pPr>
              <w:pStyle w:val="ListParagraph"/>
              <w:numPr>
                <w:ilvl w:val="0"/>
                <w:numId w:val="31"/>
              </w:numPr>
              <w:jc w:val="both"/>
              <w:rPr>
                <w:rFonts w:ascii="Arial" w:hAnsi="Arial" w:cs="Arial"/>
                <w:sz w:val="20"/>
                <w:szCs w:val="20"/>
                <w:lang w:val="en-US" w:eastAsia="ja-JP"/>
              </w:rPr>
            </w:pPr>
            <w:r w:rsidRPr="009F2042">
              <w:rPr>
                <w:rFonts w:ascii="Arial" w:hAnsi="Arial" w:cs="Arial"/>
                <w:sz w:val="20"/>
                <w:szCs w:val="20"/>
                <w:lang w:val="en-US" w:eastAsia="ja-JP"/>
              </w:rPr>
              <w:t>the child node can dynamically report to the parent node a set of recommended beams, not preferred beams, or both recommended and not preferred beams of the IAB-MT of the child node</w:t>
            </w:r>
          </w:p>
          <w:p w14:paraId="33DA130A" w14:textId="77777777" w:rsidR="00855669" w:rsidRPr="009F2042" w:rsidRDefault="00242907" w:rsidP="004C330D">
            <w:pPr>
              <w:pStyle w:val="ListParagraph"/>
              <w:numPr>
                <w:ilvl w:val="1"/>
                <w:numId w:val="31"/>
              </w:numPr>
              <w:jc w:val="both"/>
              <w:rPr>
                <w:rFonts w:ascii="Arial" w:hAnsi="Arial" w:cs="Arial"/>
                <w:sz w:val="20"/>
                <w:szCs w:val="20"/>
                <w:lang w:val="en-US" w:eastAsia="ja-JP"/>
              </w:rPr>
            </w:pPr>
            <w:r w:rsidRPr="009F2042">
              <w:rPr>
                <w:rFonts w:ascii="Arial" w:hAnsi="Arial" w:cs="Arial"/>
                <w:sz w:val="20"/>
                <w:szCs w:val="20"/>
                <w:lang w:val="en-US" w:eastAsia="ja-JP"/>
              </w:rPr>
              <w:t>FFS: Whether the specification supports all reporting combinations.</w:t>
            </w:r>
          </w:p>
          <w:p w14:paraId="67BE3373" w14:textId="77777777" w:rsidR="00855669" w:rsidRPr="009F2042" w:rsidRDefault="00242907" w:rsidP="004C330D">
            <w:pPr>
              <w:pStyle w:val="ListParagraph"/>
              <w:numPr>
                <w:ilvl w:val="0"/>
                <w:numId w:val="31"/>
              </w:numPr>
              <w:jc w:val="both"/>
              <w:rPr>
                <w:rFonts w:ascii="Arial" w:hAnsi="Arial" w:cs="Arial"/>
                <w:sz w:val="20"/>
                <w:szCs w:val="20"/>
                <w:lang w:val="en-US" w:eastAsia="ja-JP"/>
              </w:rPr>
            </w:pPr>
            <w:r w:rsidRPr="009F2042">
              <w:rPr>
                <w:rFonts w:ascii="Arial" w:hAnsi="Arial" w:cs="Arial"/>
                <w:sz w:val="20"/>
                <w:szCs w:val="20"/>
                <w:lang w:val="en-US" w:eastAsia="ja-JP"/>
              </w:rPr>
              <w:t>FFS: Applicability to specific multiplexing cases or specific time-frequency resources</w:t>
            </w:r>
          </w:p>
          <w:p w14:paraId="4AD920C1" w14:textId="77777777" w:rsidR="00855669" w:rsidRPr="009F2042" w:rsidRDefault="00242907" w:rsidP="004C330D">
            <w:pPr>
              <w:pStyle w:val="ListParagraph"/>
              <w:numPr>
                <w:ilvl w:val="0"/>
                <w:numId w:val="31"/>
              </w:numPr>
              <w:jc w:val="both"/>
              <w:rPr>
                <w:rFonts w:ascii="Arial" w:hAnsi="Arial" w:cs="Arial"/>
                <w:sz w:val="20"/>
                <w:szCs w:val="20"/>
                <w:lang w:val="en-US" w:eastAsia="ja-JP"/>
              </w:rPr>
            </w:pPr>
            <w:r w:rsidRPr="009F2042">
              <w:rPr>
                <w:rFonts w:ascii="Arial" w:hAnsi="Arial" w:cs="Arial"/>
                <w:sz w:val="20"/>
                <w:szCs w:val="20"/>
                <w:lang w:val="en-US" w:eastAsia="ja-JP"/>
              </w:rPr>
              <w:t xml:space="preserve">FFS: Additional semi-static signaling </w:t>
            </w:r>
          </w:p>
          <w:p w14:paraId="1B6B1557" w14:textId="77777777" w:rsidR="00855669" w:rsidRPr="009F2042" w:rsidRDefault="00242907" w:rsidP="004C330D">
            <w:pPr>
              <w:pStyle w:val="ListParagraph"/>
              <w:numPr>
                <w:ilvl w:val="0"/>
                <w:numId w:val="31"/>
              </w:numPr>
              <w:jc w:val="both"/>
              <w:rPr>
                <w:rFonts w:ascii="Arial" w:hAnsi="Arial" w:cs="Arial"/>
                <w:sz w:val="20"/>
                <w:szCs w:val="20"/>
                <w:lang w:val="en-US" w:eastAsia="ja-JP"/>
              </w:rPr>
            </w:pPr>
            <w:r w:rsidRPr="009F2042">
              <w:rPr>
                <w:rFonts w:ascii="Arial" w:hAnsi="Arial" w:cs="Arial"/>
                <w:sz w:val="20"/>
                <w:szCs w:val="20"/>
                <w:lang w:val="en-US" w:eastAsia="ja-JP"/>
              </w:rPr>
              <w:t>FFS: Per-panel granularity in addition to per-beam granularity</w:t>
            </w:r>
          </w:p>
          <w:p w14:paraId="339CFB5F" w14:textId="77777777" w:rsidR="00855669" w:rsidRPr="009F2042" w:rsidRDefault="00242907" w:rsidP="004C330D">
            <w:pPr>
              <w:pStyle w:val="ListParagraph"/>
              <w:numPr>
                <w:ilvl w:val="0"/>
                <w:numId w:val="31"/>
              </w:numPr>
              <w:jc w:val="both"/>
              <w:rPr>
                <w:rFonts w:ascii="Arial" w:hAnsi="Arial" w:cs="Arial"/>
                <w:sz w:val="20"/>
                <w:szCs w:val="20"/>
                <w:lang w:val="en-US" w:eastAsia="ja-JP"/>
              </w:rPr>
            </w:pPr>
            <w:r w:rsidRPr="009F2042">
              <w:rPr>
                <w:rFonts w:ascii="Arial" w:hAnsi="Arial" w:cs="Arial"/>
                <w:sz w:val="20"/>
                <w:szCs w:val="20"/>
                <w:lang w:val="en-US" w:eastAsia="ja-JP"/>
              </w:rPr>
              <w:t>FFS: Relationship between child IAB-MT beam indication and parent IAB-DU beam indication</w:t>
            </w:r>
          </w:p>
          <w:p w14:paraId="4752A173" w14:textId="795754EE" w:rsidR="00242907" w:rsidRPr="009F2042" w:rsidRDefault="00242907" w:rsidP="00855669">
            <w:pPr>
              <w:pStyle w:val="ListParagraph"/>
              <w:numPr>
                <w:ilvl w:val="0"/>
                <w:numId w:val="31"/>
              </w:numPr>
              <w:spacing w:after="240"/>
              <w:jc w:val="both"/>
              <w:rPr>
                <w:lang w:val="en-US" w:eastAsia="ja-JP"/>
              </w:rPr>
            </w:pPr>
            <w:r w:rsidRPr="009F2042">
              <w:rPr>
                <w:rFonts w:ascii="Arial" w:hAnsi="Arial" w:cs="Arial"/>
                <w:sz w:val="20"/>
                <w:szCs w:val="20"/>
                <w:lang w:val="en-US" w:eastAsia="ja-JP"/>
              </w:rPr>
              <w:t>Note: This does not preclude any enhancements for either DU or MT-based CLI measurement and reports</w:t>
            </w:r>
          </w:p>
        </w:tc>
      </w:tr>
    </w:tbl>
    <w:p w14:paraId="04FD5A18" w14:textId="3A219A7A" w:rsidR="002B77B4" w:rsidRPr="009F2042" w:rsidRDefault="002B77B4" w:rsidP="003C0309">
      <w:pPr>
        <w:spacing w:before="240"/>
        <w:jc w:val="both"/>
        <w:rPr>
          <w:lang w:eastAsia="ja-JP"/>
        </w:rPr>
      </w:pPr>
      <w:r w:rsidRPr="009F2042">
        <w:rPr>
          <w:lang w:eastAsia="ja-JP"/>
        </w:rPr>
        <w:t>On the other hand, regarding CLI, the following objectives were agreed in RAN1#104, Agenda item 8.10.2</w:t>
      </w:r>
      <w:r w:rsidR="00E13001" w:rsidRPr="009F2042">
        <w:rPr>
          <w:lang w:eastAsia="ja-JP"/>
        </w:rPr>
        <w:t xml:space="preserve"> </w:t>
      </w:r>
      <w:r w:rsidR="00E13001" w:rsidRPr="009F2042">
        <w:rPr>
          <w:lang w:eastAsia="ja-JP"/>
        </w:rPr>
        <w:fldChar w:fldCharType="begin"/>
      </w:r>
      <w:r w:rsidR="00E13001" w:rsidRPr="009F2042">
        <w:rPr>
          <w:lang w:eastAsia="ja-JP"/>
        </w:rPr>
        <w:instrText xml:space="preserve"> REF _Ref77166368 \r \h </w:instrText>
      </w:r>
      <w:r w:rsidR="00986820" w:rsidRPr="009F2042">
        <w:rPr>
          <w:lang w:eastAsia="ja-JP"/>
        </w:rPr>
        <w:instrText xml:space="preserve"> \* MERGEFORMAT </w:instrText>
      </w:r>
      <w:r w:rsidR="00E13001" w:rsidRPr="009F2042">
        <w:rPr>
          <w:lang w:eastAsia="ja-JP"/>
        </w:rPr>
      </w:r>
      <w:r w:rsidR="00E13001" w:rsidRPr="009F2042">
        <w:rPr>
          <w:lang w:eastAsia="ja-JP"/>
        </w:rPr>
        <w:fldChar w:fldCharType="separate"/>
      </w:r>
      <w:r w:rsidR="00BC7F0D">
        <w:rPr>
          <w:lang w:eastAsia="ja-JP"/>
        </w:rPr>
        <w:t>[4]</w:t>
      </w:r>
      <w:r w:rsidR="00E13001" w:rsidRPr="009F2042">
        <w:rPr>
          <w:lang w:eastAsia="ja-JP"/>
        </w:rPr>
        <w:fldChar w:fldCharType="end"/>
      </w:r>
      <w:r w:rsidRPr="009F2042">
        <w:rPr>
          <w:lang w:eastAsia="ja-JP"/>
        </w:rPr>
        <w:t>:</w:t>
      </w:r>
    </w:p>
    <w:tbl>
      <w:tblPr>
        <w:tblStyle w:val="TableGrid"/>
        <w:tblW w:w="0" w:type="auto"/>
        <w:tblLook w:val="04A0" w:firstRow="1" w:lastRow="0" w:firstColumn="1" w:lastColumn="0" w:noHBand="0" w:noVBand="1"/>
      </w:tblPr>
      <w:tblGrid>
        <w:gridCol w:w="9629"/>
      </w:tblGrid>
      <w:tr w:rsidR="001C2EF1" w:rsidRPr="009F2042" w14:paraId="18481F94" w14:textId="77777777" w:rsidTr="001C2EF1">
        <w:tc>
          <w:tcPr>
            <w:tcW w:w="9629" w:type="dxa"/>
          </w:tcPr>
          <w:p w14:paraId="21F03E52" w14:textId="77777777" w:rsidR="001C2EF1" w:rsidRPr="009F2042" w:rsidRDefault="001C2EF1" w:rsidP="004C330D">
            <w:pPr>
              <w:jc w:val="both"/>
              <w:rPr>
                <w:b/>
                <w:bCs/>
                <w:sz w:val="20"/>
                <w:szCs w:val="20"/>
                <w:lang w:eastAsia="ja-JP"/>
              </w:rPr>
            </w:pPr>
            <w:r w:rsidRPr="009F2042">
              <w:rPr>
                <w:sz w:val="20"/>
                <w:szCs w:val="20"/>
                <w:highlight w:val="green"/>
                <w:lang w:eastAsia="ja-JP"/>
              </w:rPr>
              <w:t>Agreement</w:t>
            </w:r>
          </w:p>
          <w:p w14:paraId="18938331" w14:textId="77777777" w:rsidR="001C2EF1" w:rsidRPr="009F2042" w:rsidRDefault="001C2EF1" w:rsidP="004C330D">
            <w:pPr>
              <w:jc w:val="both"/>
              <w:rPr>
                <w:sz w:val="20"/>
                <w:szCs w:val="20"/>
                <w:lang w:eastAsia="ja-JP"/>
              </w:rPr>
            </w:pPr>
            <w:r w:rsidRPr="009F2042">
              <w:rPr>
                <w:sz w:val="20"/>
                <w:szCs w:val="20"/>
                <w:lang w:eastAsia="ja-JP"/>
              </w:rPr>
              <w:t>RAN1 to decide whether to enhance interference mitigation through information exchange to support beam-management at the parent or child node in RAN1#104bis-e</w:t>
            </w:r>
          </w:p>
          <w:p w14:paraId="6E1CB980" w14:textId="77777777" w:rsidR="001C2EF1" w:rsidRPr="009F2042" w:rsidRDefault="001C2EF1" w:rsidP="004C330D">
            <w:pPr>
              <w:jc w:val="both"/>
              <w:rPr>
                <w:sz w:val="20"/>
                <w:szCs w:val="20"/>
                <w:lang w:eastAsia="ja-JP"/>
              </w:rPr>
            </w:pPr>
            <w:r w:rsidRPr="009F2042">
              <w:rPr>
                <w:sz w:val="20"/>
                <w:szCs w:val="20"/>
                <w:lang w:eastAsia="ja-JP"/>
              </w:rPr>
              <w:t>•</w:t>
            </w:r>
            <w:r w:rsidRPr="009F2042">
              <w:rPr>
                <w:sz w:val="20"/>
                <w:szCs w:val="20"/>
                <w:lang w:eastAsia="ja-JP"/>
              </w:rPr>
              <w:tab/>
              <w:t>FFS: reporting of desired beams for reception in DL or desired beams for transmission in UL by the IAB node for a given multiplexing mode</w:t>
            </w:r>
          </w:p>
          <w:p w14:paraId="0908238A" w14:textId="27ACECF3" w:rsidR="001C2EF1" w:rsidRPr="009F2042" w:rsidRDefault="001C2EF1" w:rsidP="00ED6838">
            <w:pPr>
              <w:jc w:val="both"/>
              <w:rPr>
                <w:lang w:eastAsia="ja-JP"/>
              </w:rPr>
            </w:pPr>
            <w:r w:rsidRPr="009F2042">
              <w:rPr>
                <w:sz w:val="20"/>
                <w:szCs w:val="20"/>
                <w:lang w:eastAsia="ja-JP"/>
              </w:rPr>
              <w:t>•</w:t>
            </w:r>
            <w:r w:rsidRPr="009F2042">
              <w:rPr>
                <w:sz w:val="20"/>
                <w:szCs w:val="20"/>
                <w:lang w:eastAsia="ja-JP"/>
              </w:rPr>
              <w:tab/>
              <w:t>FFS: indicating applicable beams in DL or beams in UL for a given multiplexing mode.</w:t>
            </w:r>
          </w:p>
        </w:tc>
      </w:tr>
    </w:tbl>
    <w:p w14:paraId="5F233CAE" w14:textId="0757F0F7" w:rsidR="002B77B4" w:rsidRPr="009F2042" w:rsidRDefault="002B77B4" w:rsidP="003C0309">
      <w:pPr>
        <w:spacing w:before="240"/>
        <w:jc w:val="both"/>
        <w:rPr>
          <w:lang w:eastAsia="ja-JP"/>
        </w:rPr>
      </w:pPr>
      <w:r w:rsidRPr="009F2042">
        <w:rPr>
          <w:lang w:eastAsia="ja-JP"/>
        </w:rPr>
        <w:t>As explained above, backhaul links are stationary for which a large part of the interference issues can be</w:t>
      </w:r>
      <w:r w:rsidRPr="009F2042" w:rsidDel="00BE459B">
        <w:rPr>
          <w:lang w:eastAsia="ja-JP"/>
        </w:rPr>
        <w:t xml:space="preserve"> </w:t>
      </w:r>
      <w:r w:rsidRPr="009F2042">
        <w:rPr>
          <w:lang w:eastAsia="ja-JP"/>
        </w:rPr>
        <w:t>solved during network planning. Moreover, with respect to the agreement in A</w:t>
      </w:r>
      <w:r w:rsidR="007E3ABB" w:rsidRPr="009F2042">
        <w:rPr>
          <w:lang w:eastAsia="ja-JP"/>
        </w:rPr>
        <w:t>.I.</w:t>
      </w:r>
      <w:r w:rsidRPr="009F2042">
        <w:rPr>
          <w:lang w:eastAsia="ja-JP"/>
        </w:rPr>
        <w:t xml:space="preserve"> 8.10.2, it is interesting to note that:</w:t>
      </w:r>
    </w:p>
    <w:p w14:paraId="65DBC8DC" w14:textId="4BD945B1" w:rsidR="002B77B4" w:rsidRPr="009F2042" w:rsidRDefault="002B77B4" w:rsidP="00ED6838">
      <w:pPr>
        <w:jc w:val="both"/>
        <w:rPr>
          <w:lang w:eastAsia="ja-JP"/>
        </w:rPr>
      </w:pPr>
      <w:r w:rsidRPr="009F2042">
        <w:rPr>
          <w:lang w:eastAsia="ja-JP"/>
        </w:rPr>
        <w:t>-</w:t>
      </w:r>
      <w:r w:rsidRPr="009F2042">
        <w:rPr>
          <w:lang w:eastAsia="ja-JP"/>
        </w:rPr>
        <w:tab/>
      </w:r>
      <w:r w:rsidR="004569D3" w:rsidRPr="009F2042">
        <w:rPr>
          <w:lang w:eastAsia="ja-JP"/>
        </w:rPr>
        <w:t>W</w:t>
      </w:r>
      <w:r w:rsidRPr="009F2042">
        <w:rPr>
          <w:lang w:eastAsia="ja-JP"/>
        </w:rPr>
        <w:t>e already have the agreement in A</w:t>
      </w:r>
      <w:r w:rsidR="007E3ABB" w:rsidRPr="009F2042">
        <w:rPr>
          <w:lang w:eastAsia="ja-JP"/>
        </w:rPr>
        <w:t>.I.</w:t>
      </w:r>
      <w:r w:rsidRPr="009F2042">
        <w:rPr>
          <w:lang w:eastAsia="ja-JP"/>
        </w:rPr>
        <w:t xml:space="preserve"> 8.10.1 with the parent node (resp. the child node) dynamically indicating to the child node (resp. the parent node) at least a set of restricted beams at the IAB-DU of the child node (resp. a set of recommended beams, not preferred beams, or both recommended and not preferred beams of the IAB-MT of the child node)</w:t>
      </w:r>
      <w:r w:rsidR="004569D3" w:rsidRPr="009F2042">
        <w:rPr>
          <w:lang w:eastAsia="ja-JP"/>
        </w:rPr>
        <w:t xml:space="preserve">, and the </w:t>
      </w:r>
      <w:r w:rsidR="008A35F6" w:rsidRPr="009F2042">
        <w:rPr>
          <w:lang w:eastAsia="ja-JP"/>
        </w:rPr>
        <w:t xml:space="preserve">A.I. 8.10.1 agreement already </w:t>
      </w:r>
      <w:r w:rsidR="005B6C94" w:rsidRPr="009F2042">
        <w:rPr>
          <w:lang w:eastAsia="ja-JP"/>
        </w:rPr>
        <w:t>fulfils</w:t>
      </w:r>
      <w:r w:rsidR="008A35F6" w:rsidRPr="009F2042">
        <w:rPr>
          <w:lang w:eastAsia="ja-JP"/>
        </w:rPr>
        <w:t xml:space="preserve"> the </w:t>
      </w:r>
      <w:r w:rsidR="005B6C94" w:rsidRPr="009F2042">
        <w:rPr>
          <w:lang w:eastAsia="ja-JP"/>
        </w:rPr>
        <w:t>A.I. 8.10.2 agreement</w:t>
      </w:r>
      <w:r w:rsidRPr="009F2042">
        <w:rPr>
          <w:lang w:eastAsia="ja-JP"/>
        </w:rPr>
        <w:t xml:space="preserve">. </w:t>
      </w:r>
    </w:p>
    <w:p w14:paraId="3BB57E1B" w14:textId="6B34F513" w:rsidR="002B77B4" w:rsidRPr="009F2042" w:rsidRDefault="002B77B4" w:rsidP="00ED6838">
      <w:pPr>
        <w:jc w:val="both"/>
        <w:rPr>
          <w:lang w:eastAsia="ja-JP"/>
        </w:rPr>
      </w:pPr>
      <w:r w:rsidRPr="009F2042">
        <w:rPr>
          <w:lang w:eastAsia="ja-JP"/>
        </w:rPr>
        <w:t>-</w:t>
      </w:r>
      <w:r w:rsidRPr="009F2042">
        <w:rPr>
          <w:lang w:eastAsia="ja-JP"/>
        </w:rPr>
        <w:tab/>
      </w:r>
      <w:r w:rsidR="00BC42D1" w:rsidRPr="009F2042">
        <w:rPr>
          <w:lang w:eastAsia="ja-JP"/>
        </w:rPr>
        <w:t>According to the WID, A.I.</w:t>
      </w:r>
      <w:r w:rsidR="00B35499" w:rsidRPr="009F2042">
        <w:rPr>
          <w:lang w:eastAsia="ja-JP"/>
        </w:rPr>
        <w:t> </w:t>
      </w:r>
      <w:r w:rsidRPr="009F2042">
        <w:rPr>
          <w:lang w:eastAsia="ja-JP"/>
        </w:rPr>
        <w:t xml:space="preserve">8.10.2 </w:t>
      </w:r>
      <w:r w:rsidR="00BC42D1" w:rsidRPr="009F2042">
        <w:rPr>
          <w:lang w:eastAsia="ja-JP"/>
        </w:rPr>
        <w:t>only</w:t>
      </w:r>
      <w:r w:rsidRPr="009F2042">
        <w:rPr>
          <w:lang w:eastAsia="ja-JP"/>
        </w:rPr>
        <w:t xml:space="preserve"> consider</w:t>
      </w:r>
      <w:r w:rsidR="00BC42D1" w:rsidRPr="009F2042">
        <w:rPr>
          <w:lang w:eastAsia="ja-JP"/>
        </w:rPr>
        <w:t>s</w:t>
      </w:r>
      <w:r w:rsidRPr="009F2042">
        <w:rPr>
          <w:lang w:eastAsia="ja-JP"/>
        </w:rPr>
        <w:t xml:space="preserve"> simultaneous operation</w:t>
      </w:r>
      <w:r w:rsidR="00E13001" w:rsidRPr="009F2042">
        <w:rPr>
          <w:lang w:eastAsia="ja-JP"/>
        </w:rPr>
        <w:t xml:space="preserve"> </w:t>
      </w:r>
      <w:r w:rsidR="00E13001" w:rsidRPr="0046776B">
        <w:rPr>
          <w:lang w:eastAsia="ja-JP"/>
        </w:rPr>
        <w:fldChar w:fldCharType="begin"/>
      </w:r>
      <w:r w:rsidR="00E13001" w:rsidRPr="0046776B">
        <w:rPr>
          <w:lang w:eastAsia="ja-JP"/>
        </w:rPr>
        <w:instrText xml:space="preserve"> REF _Ref77157032 \r \h </w:instrText>
      </w:r>
      <w:r w:rsidR="00986820" w:rsidRPr="0046776B">
        <w:rPr>
          <w:lang w:eastAsia="ja-JP"/>
        </w:rPr>
        <w:instrText xml:space="preserve"> \* MERGEFORMAT </w:instrText>
      </w:r>
      <w:r w:rsidR="00E13001" w:rsidRPr="0046776B">
        <w:rPr>
          <w:lang w:eastAsia="ja-JP"/>
        </w:rPr>
      </w:r>
      <w:r w:rsidR="00E13001" w:rsidRPr="0046776B">
        <w:rPr>
          <w:lang w:eastAsia="ja-JP"/>
        </w:rPr>
        <w:fldChar w:fldCharType="separate"/>
      </w:r>
      <w:r w:rsidR="00BC7F0D" w:rsidRPr="0046776B">
        <w:rPr>
          <w:lang w:eastAsia="ja-JP"/>
        </w:rPr>
        <w:t>[1]</w:t>
      </w:r>
      <w:r w:rsidR="00E13001" w:rsidRPr="0046776B">
        <w:rPr>
          <w:lang w:eastAsia="ja-JP"/>
        </w:rPr>
        <w:fldChar w:fldCharType="end"/>
      </w:r>
      <w:r w:rsidR="00A516D7" w:rsidRPr="009F2042">
        <w:rPr>
          <w:lang w:eastAsia="ja-JP"/>
        </w:rPr>
        <w:t xml:space="preserve">, and </w:t>
      </w:r>
      <w:r w:rsidR="00A516D7" w:rsidRPr="009F2042">
        <w:t>hence no other interference scenarios are considered</w:t>
      </w:r>
      <w:r w:rsidRPr="009F2042">
        <w:rPr>
          <w:lang w:eastAsia="ja-JP"/>
        </w:rPr>
        <w:t xml:space="preserve">. Thus, the cases with TDM, which is the scenario not covered by the agreement in </w:t>
      </w:r>
      <w:r w:rsidR="00B35499" w:rsidRPr="009F2042">
        <w:rPr>
          <w:lang w:eastAsia="ja-JP"/>
        </w:rPr>
        <w:t>A.I. </w:t>
      </w:r>
      <w:r w:rsidRPr="009F2042">
        <w:rPr>
          <w:lang w:eastAsia="ja-JP"/>
        </w:rPr>
        <w:t>8.10.1, is not in the objective of the A</w:t>
      </w:r>
      <w:r w:rsidR="006D42C8" w:rsidRPr="009F2042">
        <w:rPr>
          <w:lang w:eastAsia="ja-JP"/>
        </w:rPr>
        <w:t>.I.</w:t>
      </w:r>
      <w:r w:rsidRPr="009F2042">
        <w:rPr>
          <w:lang w:eastAsia="ja-JP"/>
        </w:rPr>
        <w:t xml:space="preserve"> 8.10.2, and it should not be prioritized.</w:t>
      </w:r>
    </w:p>
    <w:p w14:paraId="3CB3B803" w14:textId="0E64E467" w:rsidR="002B77B4" w:rsidRPr="009F2042" w:rsidRDefault="002B77B4" w:rsidP="00ED6838">
      <w:pPr>
        <w:jc w:val="both"/>
        <w:rPr>
          <w:lang w:eastAsia="ja-JP"/>
        </w:rPr>
      </w:pPr>
      <w:r w:rsidRPr="009F2042">
        <w:rPr>
          <w:lang w:eastAsia="ja-JP"/>
        </w:rPr>
        <w:t xml:space="preserve">In summary, we believe that, regarding the beam management mechanism, we already have the agreement we need in </w:t>
      </w:r>
      <w:r w:rsidR="008472ED" w:rsidRPr="009F2042">
        <w:rPr>
          <w:lang w:eastAsia="ja-JP"/>
        </w:rPr>
        <w:t xml:space="preserve">A.I. </w:t>
      </w:r>
      <w:r w:rsidRPr="009F2042">
        <w:rPr>
          <w:lang w:eastAsia="ja-JP"/>
        </w:rPr>
        <w:t xml:space="preserve">8.10.1, and there is no need for </w:t>
      </w:r>
      <w:r w:rsidR="00240880" w:rsidRPr="009F2042">
        <w:rPr>
          <w:lang w:eastAsia="ja-JP"/>
        </w:rPr>
        <w:t>additional</w:t>
      </w:r>
      <w:r w:rsidRPr="009F2042">
        <w:rPr>
          <w:lang w:eastAsia="ja-JP"/>
        </w:rPr>
        <w:t xml:space="preserve"> agreement</w:t>
      </w:r>
      <w:r w:rsidR="00240880" w:rsidRPr="009F2042">
        <w:rPr>
          <w:lang w:eastAsia="ja-JP"/>
        </w:rPr>
        <w:t>s</w:t>
      </w:r>
      <w:r w:rsidRPr="009F2042">
        <w:rPr>
          <w:lang w:eastAsia="ja-JP"/>
        </w:rPr>
        <w:t xml:space="preserve"> in </w:t>
      </w:r>
      <w:r w:rsidR="008472ED" w:rsidRPr="009F2042">
        <w:rPr>
          <w:lang w:eastAsia="ja-JP"/>
        </w:rPr>
        <w:t>A.I. </w:t>
      </w:r>
      <w:r w:rsidRPr="009F2042">
        <w:rPr>
          <w:lang w:eastAsia="ja-JP"/>
        </w:rPr>
        <w:t>8.10.2.</w:t>
      </w:r>
    </w:p>
    <w:p w14:paraId="4AE84F9C" w14:textId="46EF74E8" w:rsidR="008502B7" w:rsidRPr="009F2042" w:rsidRDefault="007D7808" w:rsidP="00ED6838">
      <w:pPr>
        <w:pStyle w:val="Observation"/>
      </w:pPr>
      <w:bookmarkStart w:id="42" w:name="_Toc79165725"/>
      <w:bookmarkStart w:id="43" w:name="_Toc79180108"/>
      <w:bookmarkEnd w:id="42"/>
      <w:r w:rsidRPr="009F2042">
        <w:t>Additional enhanced interference mitigation and associated parent-child signaling, apart from what is already agreed, is not needed.</w:t>
      </w:r>
      <w:bookmarkEnd w:id="43"/>
    </w:p>
    <w:p w14:paraId="45CAF74C" w14:textId="5A8C6ED5" w:rsidR="002B77B4" w:rsidRPr="009F2042" w:rsidRDefault="002B77B4" w:rsidP="00ED6838">
      <w:pPr>
        <w:jc w:val="both"/>
        <w:rPr>
          <w:lang w:eastAsia="ja-JP"/>
        </w:rPr>
      </w:pPr>
      <w:r w:rsidRPr="009F2042">
        <w:rPr>
          <w:lang w:eastAsia="ja-JP"/>
        </w:rPr>
        <w:t xml:space="preserve">In RAN1#105-e, the following objectives were agreed </w:t>
      </w:r>
      <w:r w:rsidR="00E13001" w:rsidRPr="009F2042">
        <w:rPr>
          <w:lang w:eastAsia="ja-JP"/>
        </w:rPr>
        <w:fldChar w:fldCharType="begin"/>
      </w:r>
      <w:r w:rsidR="00E13001" w:rsidRPr="009F2042">
        <w:rPr>
          <w:lang w:eastAsia="ja-JP"/>
        </w:rPr>
        <w:instrText xml:space="preserve"> REF _Ref77157742 \r \h </w:instrText>
      </w:r>
      <w:r w:rsidR="00986820" w:rsidRPr="009F2042">
        <w:rPr>
          <w:lang w:eastAsia="ja-JP"/>
        </w:rPr>
        <w:instrText xml:space="preserve"> \* MERGEFORMAT </w:instrText>
      </w:r>
      <w:r w:rsidR="00E13001" w:rsidRPr="009F2042">
        <w:rPr>
          <w:lang w:eastAsia="ja-JP"/>
        </w:rPr>
      </w:r>
      <w:r w:rsidR="00E13001" w:rsidRPr="009F2042">
        <w:rPr>
          <w:lang w:eastAsia="ja-JP"/>
        </w:rPr>
        <w:fldChar w:fldCharType="separate"/>
      </w:r>
      <w:r w:rsidR="00BC7F0D">
        <w:rPr>
          <w:lang w:eastAsia="ja-JP"/>
        </w:rPr>
        <w:t>[3]</w:t>
      </w:r>
      <w:r w:rsidR="00E13001" w:rsidRPr="009F2042">
        <w:rPr>
          <w:lang w:eastAsia="ja-JP"/>
        </w:rPr>
        <w:fldChar w:fldCharType="end"/>
      </w:r>
      <w:r w:rsidRPr="009F2042">
        <w:rPr>
          <w:lang w:eastAsia="ja-JP"/>
        </w:rPr>
        <w:t>:</w:t>
      </w:r>
    </w:p>
    <w:tbl>
      <w:tblPr>
        <w:tblStyle w:val="TableGrid"/>
        <w:tblW w:w="0" w:type="auto"/>
        <w:tblLook w:val="04A0" w:firstRow="1" w:lastRow="0" w:firstColumn="1" w:lastColumn="0" w:noHBand="0" w:noVBand="1"/>
      </w:tblPr>
      <w:tblGrid>
        <w:gridCol w:w="9629"/>
      </w:tblGrid>
      <w:tr w:rsidR="00C62233" w:rsidRPr="009F2042" w14:paraId="6A8930C7" w14:textId="77777777" w:rsidTr="00C62233">
        <w:tc>
          <w:tcPr>
            <w:tcW w:w="9629" w:type="dxa"/>
          </w:tcPr>
          <w:p w14:paraId="2C2125CD" w14:textId="77777777" w:rsidR="00C62233" w:rsidRPr="009F2042" w:rsidRDefault="00C62233" w:rsidP="00ED6838">
            <w:pPr>
              <w:jc w:val="both"/>
              <w:rPr>
                <w:b/>
                <w:bCs/>
                <w:sz w:val="20"/>
                <w:szCs w:val="20"/>
                <w:lang w:eastAsia="ja-JP"/>
              </w:rPr>
            </w:pPr>
            <w:r w:rsidRPr="009F2042">
              <w:rPr>
                <w:sz w:val="20"/>
                <w:szCs w:val="20"/>
                <w:highlight w:val="green"/>
                <w:lang w:eastAsia="ja-JP"/>
              </w:rPr>
              <w:lastRenderedPageBreak/>
              <w:t>Agreement</w:t>
            </w:r>
          </w:p>
          <w:p w14:paraId="0EB3E558" w14:textId="77777777" w:rsidR="00C62233" w:rsidRPr="009F2042" w:rsidRDefault="00C62233" w:rsidP="00ED6838">
            <w:pPr>
              <w:jc w:val="both"/>
              <w:rPr>
                <w:sz w:val="20"/>
                <w:szCs w:val="20"/>
                <w:lang w:eastAsia="ja-JP"/>
              </w:rPr>
            </w:pPr>
            <w:r w:rsidRPr="009F2042">
              <w:rPr>
                <w:sz w:val="20"/>
                <w:szCs w:val="20"/>
                <w:lang w:eastAsia="ja-JP"/>
              </w:rPr>
              <w:t xml:space="preserve">Rel-16 CLI coordination </w:t>
            </w:r>
            <w:proofErr w:type="spellStart"/>
            <w:r w:rsidRPr="009F2042">
              <w:rPr>
                <w:sz w:val="20"/>
                <w:szCs w:val="20"/>
                <w:lang w:eastAsia="ja-JP"/>
              </w:rPr>
              <w:t>signalling</w:t>
            </w:r>
            <w:proofErr w:type="spellEnd"/>
            <w:r w:rsidRPr="009F2042">
              <w:rPr>
                <w:sz w:val="20"/>
                <w:szCs w:val="20"/>
                <w:lang w:eastAsia="ja-JP"/>
              </w:rPr>
              <w:t xml:space="preserve"> (Intended TDD DL-UL Configuration) is extended to support IAB specific UFD patterns.</w:t>
            </w:r>
          </w:p>
          <w:p w14:paraId="52FA61DD" w14:textId="1197BA34" w:rsidR="00C62233" w:rsidRPr="009F2042" w:rsidRDefault="00C62233" w:rsidP="00ED6838">
            <w:pPr>
              <w:jc w:val="both"/>
              <w:rPr>
                <w:lang w:eastAsia="ja-JP"/>
              </w:rPr>
            </w:pPr>
            <w:r w:rsidRPr="009F2042">
              <w:rPr>
                <w:sz w:val="20"/>
                <w:szCs w:val="20"/>
                <w:lang w:eastAsia="ja-JP"/>
              </w:rPr>
              <w:t>•</w:t>
            </w:r>
            <w:r w:rsidRPr="009F2042">
              <w:rPr>
                <w:sz w:val="20"/>
                <w:szCs w:val="20"/>
                <w:lang w:eastAsia="ja-JP"/>
              </w:rPr>
              <w:tab/>
              <w:t>FFS: Support the exchange of IAB-DU H/S/NA resource configuration information among n</w:t>
            </w:r>
            <w:r w:rsidR="009F2042">
              <w:rPr>
                <w:sz w:val="20"/>
                <w:szCs w:val="20"/>
                <w:lang w:eastAsia="ja-JP"/>
              </w:rPr>
              <w:t>eighbor</w:t>
            </w:r>
            <w:r w:rsidRPr="009F2042">
              <w:rPr>
                <w:sz w:val="20"/>
                <w:szCs w:val="20"/>
                <w:lang w:eastAsia="ja-JP"/>
              </w:rPr>
              <w:t>ing IAB-nodes/IAB-donors for CLI management purposes.</w:t>
            </w:r>
          </w:p>
        </w:tc>
      </w:tr>
    </w:tbl>
    <w:p w14:paraId="0B9D52F5" w14:textId="1BC7AF2D" w:rsidR="002B77B4" w:rsidRPr="009F2042" w:rsidRDefault="00743078" w:rsidP="003C0309">
      <w:pPr>
        <w:spacing w:before="240"/>
        <w:jc w:val="both"/>
        <w:rPr>
          <w:lang w:eastAsia="ja-JP"/>
        </w:rPr>
      </w:pPr>
      <w:r w:rsidRPr="009F2042">
        <w:rPr>
          <w:lang w:eastAsia="ja-JP"/>
        </w:rPr>
        <w:t xml:space="preserve">As pointed out above, the relevant objective with A.I. 8.10.2 is to introduce interference management to assist simultaneous operation in IAB. Hence, the above </w:t>
      </w:r>
      <w:r w:rsidR="00D43AD3" w:rsidRPr="009F2042">
        <w:rPr>
          <w:lang w:eastAsia="ja-JP"/>
        </w:rPr>
        <w:t>agreement must be interpreted with the WID objective in mind</w:t>
      </w:r>
      <w:r w:rsidR="004D33D5" w:rsidRPr="009F2042">
        <w:rPr>
          <w:lang w:eastAsia="ja-JP"/>
        </w:rPr>
        <w:t xml:space="preserve">, i.e., </w:t>
      </w:r>
      <w:r w:rsidR="00254836" w:rsidRPr="009F2042">
        <w:rPr>
          <w:lang w:eastAsia="ja-JP"/>
        </w:rPr>
        <w:t>the agreement concerns</w:t>
      </w:r>
      <w:r w:rsidR="004D33D5" w:rsidRPr="009F2042">
        <w:rPr>
          <w:lang w:eastAsia="ja-JP"/>
        </w:rPr>
        <w:t xml:space="preserve"> cases with simultaneous operation</w:t>
      </w:r>
      <w:r w:rsidR="00254836" w:rsidRPr="009F2042">
        <w:rPr>
          <w:lang w:eastAsia="ja-JP"/>
        </w:rPr>
        <w:t>.</w:t>
      </w:r>
      <w:r w:rsidR="00DB6974" w:rsidRPr="009F2042">
        <w:rPr>
          <w:lang w:eastAsia="ja-JP"/>
        </w:rPr>
        <w:t xml:space="preserve"> However, considering use of SDM in Soft resources, Soft is likely to constitute a large part of available resources. For these</w:t>
      </w:r>
      <w:r w:rsidR="00B6671C" w:rsidRPr="009F2042">
        <w:rPr>
          <w:lang w:eastAsia="ja-JP"/>
        </w:rPr>
        <w:t xml:space="preserve">, the exchange of any resource configuration among neighboring IAB-DUs will </w:t>
      </w:r>
      <w:r w:rsidR="00911AD7" w:rsidRPr="009F2042">
        <w:rPr>
          <w:lang w:eastAsia="ja-JP"/>
        </w:rPr>
        <w:t>not provide any advantage since such signaling will be outdated</w:t>
      </w:r>
      <w:r w:rsidR="000B6E55" w:rsidRPr="009F2042">
        <w:rPr>
          <w:lang w:eastAsia="ja-JP"/>
        </w:rPr>
        <w:t xml:space="preserve"> before reaching the neighbor IAB-DU</w:t>
      </w:r>
      <w:r w:rsidR="00911AD7" w:rsidRPr="009F2042">
        <w:rPr>
          <w:lang w:eastAsia="ja-JP"/>
        </w:rPr>
        <w:t xml:space="preserve">. </w:t>
      </w:r>
      <w:r w:rsidR="002B77B4" w:rsidRPr="009F2042">
        <w:rPr>
          <w:lang w:eastAsia="ja-JP"/>
        </w:rPr>
        <w:t xml:space="preserve">Moreover, each IAB node can have up to 1024 children and multiple IAB nodes could be under an IAB donor. </w:t>
      </w:r>
      <w:r w:rsidR="00911AD7" w:rsidRPr="009F2042">
        <w:rPr>
          <w:lang w:eastAsia="ja-JP"/>
        </w:rPr>
        <w:t xml:space="preserve">In </w:t>
      </w:r>
      <w:r w:rsidR="000B6E55" w:rsidRPr="009F2042">
        <w:rPr>
          <w:lang w:eastAsia="ja-JP"/>
        </w:rPr>
        <w:t>addition</w:t>
      </w:r>
      <w:r w:rsidR="002B77B4" w:rsidRPr="009F2042" w:rsidDel="00911AD7">
        <w:rPr>
          <w:lang w:eastAsia="ja-JP"/>
        </w:rPr>
        <w:t>,</w:t>
      </w:r>
      <w:r w:rsidR="002B77B4" w:rsidRPr="009F2042">
        <w:rPr>
          <w:lang w:eastAsia="ja-JP"/>
        </w:rPr>
        <w:t xml:space="preserve"> as agreed in the previous meeting, there are different H/S/NA resource configurations for the TDM and FDM. Finally, as the donor CU decides about the configurations for the IAB-DUs, the FFS may </w:t>
      </w:r>
      <w:proofErr w:type="gramStart"/>
      <w:r w:rsidR="002B77B4" w:rsidRPr="009F2042">
        <w:rPr>
          <w:lang w:eastAsia="ja-JP"/>
        </w:rPr>
        <w:t>lead</w:t>
      </w:r>
      <w:proofErr w:type="gramEnd"/>
      <w:r w:rsidR="002B77B4" w:rsidRPr="009F2042">
        <w:rPr>
          <w:lang w:eastAsia="ja-JP"/>
        </w:rPr>
        <w:t xml:space="preserve"> to extra F1 </w:t>
      </w:r>
      <w:r w:rsidR="00CA0B0B" w:rsidRPr="009F2042">
        <w:rPr>
          <w:lang w:eastAsia="ja-JP"/>
        </w:rPr>
        <w:t>signaling</w:t>
      </w:r>
      <w:r w:rsidR="002B77B4" w:rsidRPr="009F2042">
        <w:rPr>
          <w:lang w:eastAsia="ja-JP"/>
        </w:rPr>
        <w:t xml:space="preserve"> because receiving the information from the neighbor(s), the donor CU may reconfigure the IAB-DU(s) and then report it. Thus, in summary, such an H/S/NA resource configuration information exchange may lead to high </w:t>
      </w:r>
      <w:r w:rsidR="00CA0B0B" w:rsidRPr="009F2042">
        <w:rPr>
          <w:lang w:eastAsia="ja-JP"/>
        </w:rPr>
        <w:t>signaling</w:t>
      </w:r>
      <w:r w:rsidR="002B77B4" w:rsidRPr="009F2042">
        <w:rPr>
          <w:lang w:eastAsia="ja-JP"/>
        </w:rPr>
        <w:t xml:space="preserve"> overhead, while its gain is not visible.</w:t>
      </w:r>
      <w:r w:rsidR="000B6E55" w:rsidRPr="009F2042">
        <w:rPr>
          <w:lang w:eastAsia="ja-JP"/>
        </w:rPr>
        <w:t xml:space="preserve"> For the above reasons, we do not support signaling of H/S/NA resource configuration to neighbor IAB-DUs.</w:t>
      </w:r>
    </w:p>
    <w:p w14:paraId="59546EF7" w14:textId="084D08F1" w:rsidR="008502B7" w:rsidRPr="009F2042" w:rsidRDefault="008502B7" w:rsidP="004C330D">
      <w:pPr>
        <w:pStyle w:val="Proposal"/>
        <w:rPr>
          <w:lang w:eastAsia="ja-JP"/>
        </w:rPr>
      </w:pPr>
      <w:bookmarkStart w:id="44" w:name="_Toc79180129"/>
      <w:r w:rsidRPr="009F2042">
        <w:rPr>
          <w:lang w:eastAsia="ja-JP"/>
        </w:rPr>
        <w:t>The exchange of IAB-DU H/S/NA resource configuration information among neighboring IAB-nodes/IAB-donors is not supported.</w:t>
      </w:r>
      <w:bookmarkEnd w:id="44"/>
    </w:p>
    <w:p w14:paraId="5D174F9A" w14:textId="0149534D" w:rsidR="006E062C" w:rsidRPr="009F2042" w:rsidRDefault="002B77B4" w:rsidP="004C330D">
      <w:pPr>
        <w:pStyle w:val="Heading1"/>
        <w:jc w:val="both"/>
        <w:rPr>
          <w:lang w:val="en-US"/>
        </w:rPr>
      </w:pPr>
      <w:r w:rsidRPr="009F2042">
        <w:rPr>
          <w:color w:val="70AD47" w:themeColor="accent6"/>
          <w:lang w:val="en-US"/>
        </w:rPr>
        <w:t xml:space="preserve">. </w:t>
      </w:r>
      <w:bookmarkStart w:id="45" w:name="_Ref189046994"/>
      <w:r w:rsidR="004C6559" w:rsidRPr="009F2042">
        <w:rPr>
          <w:lang w:val="en-US"/>
        </w:rPr>
        <w:t>Power control</w:t>
      </w:r>
      <w:bookmarkEnd w:id="45"/>
    </w:p>
    <w:p w14:paraId="0D1D2101" w14:textId="4E38EADF" w:rsidR="004C6559" w:rsidRPr="009F2042" w:rsidRDefault="006721B1" w:rsidP="004C330D">
      <w:pPr>
        <w:pStyle w:val="Heading2"/>
        <w:jc w:val="both"/>
        <w:rPr>
          <w:lang w:val="en-US"/>
        </w:rPr>
      </w:pPr>
      <w:r w:rsidRPr="009F2042">
        <w:rPr>
          <w:lang w:val="en-US"/>
        </w:rPr>
        <w:t>UL power control</w:t>
      </w:r>
    </w:p>
    <w:p w14:paraId="789755E8" w14:textId="79A72723" w:rsidR="004328B1" w:rsidRPr="009F2042" w:rsidRDefault="004328B1" w:rsidP="00ED6838">
      <w:pPr>
        <w:jc w:val="both"/>
      </w:pPr>
      <w:r w:rsidRPr="009F2042">
        <w:rPr>
          <w:lang w:eastAsia="ja-JP"/>
        </w:rPr>
        <w:t xml:space="preserve">In RAN1 #105-e, the following agreement was made </w:t>
      </w:r>
      <w:r w:rsidR="00D15B46" w:rsidRPr="009F2042">
        <w:rPr>
          <w:lang w:eastAsia="ja-JP"/>
        </w:rPr>
        <w:t>regarding UL power control</w:t>
      </w:r>
      <w:r w:rsidR="00321EAE" w:rsidRPr="009F2042">
        <w:rPr>
          <w:lang w:eastAsia="ja-JP"/>
        </w:rPr>
        <w:t xml:space="preserve"> </w:t>
      </w:r>
      <w:r w:rsidR="008476F2" w:rsidRPr="009F2042">
        <w:rPr>
          <w:lang w:eastAsia="ja-JP"/>
        </w:rPr>
        <w:fldChar w:fldCharType="begin"/>
      </w:r>
      <w:r w:rsidR="008476F2" w:rsidRPr="009F2042">
        <w:rPr>
          <w:lang w:eastAsia="ja-JP"/>
        </w:rPr>
        <w:instrText xml:space="preserve"> REF _Ref77157742 \r \h </w:instrText>
      </w:r>
      <w:r w:rsidR="00986820" w:rsidRPr="009F2042">
        <w:rPr>
          <w:lang w:eastAsia="ja-JP"/>
        </w:rPr>
        <w:instrText xml:space="preserve"> \* MERGEFORMAT </w:instrText>
      </w:r>
      <w:r w:rsidR="008476F2" w:rsidRPr="009F2042">
        <w:rPr>
          <w:lang w:eastAsia="ja-JP"/>
        </w:rPr>
      </w:r>
      <w:r w:rsidR="008476F2" w:rsidRPr="009F2042">
        <w:rPr>
          <w:lang w:eastAsia="ja-JP"/>
        </w:rPr>
        <w:fldChar w:fldCharType="separate"/>
      </w:r>
      <w:r w:rsidR="00BC7F0D">
        <w:rPr>
          <w:lang w:eastAsia="ja-JP"/>
        </w:rPr>
        <w:t>[3]</w:t>
      </w:r>
      <w:r w:rsidR="008476F2" w:rsidRPr="009F2042">
        <w:rPr>
          <w:lang w:eastAsia="ja-JP"/>
        </w:rPr>
        <w:fldChar w:fldCharType="end"/>
      </w:r>
      <w:r w:rsidR="00321EAE" w:rsidRPr="009F2042">
        <w:rPr>
          <w:lang w:eastAsia="ja-JP"/>
        </w:rPr>
        <w:t>:</w:t>
      </w:r>
    </w:p>
    <w:tbl>
      <w:tblPr>
        <w:tblStyle w:val="TableGrid"/>
        <w:tblW w:w="0" w:type="auto"/>
        <w:tblLook w:val="04A0" w:firstRow="1" w:lastRow="0" w:firstColumn="1" w:lastColumn="0" w:noHBand="0" w:noVBand="1"/>
      </w:tblPr>
      <w:tblGrid>
        <w:gridCol w:w="9629"/>
      </w:tblGrid>
      <w:tr w:rsidR="006721B1" w:rsidRPr="009F2042" w14:paraId="4C6CC3E6" w14:textId="77777777" w:rsidTr="006721B1">
        <w:tc>
          <w:tcPr>
            <w:tcW w:w="9629" w:type="dxa"/>
          </w:tcPr>
          <w:p w14:paraId="03A42015" w14:textId="77777777" w:rsidR="006721B1" w:rsidRPr="009F2042" w:rsidRDefault="006721B1" w:rsidP="00855669">
            <w:pPr>
              <w:jc w:val="both"/>
              <w:rPr>
                <w:rFonts w:cs="Arial"/>
                <w:sz w:val="20"/>
                <w:szCs w:val="20"/>
                <w:lang w:eastAsia="ja-JP"/>
              </w:rPr>
            </w:pPr>
            <w:r w:rsidRPr="009F2042">
              <w:rPr>
                <w:rFonts w:cs="Arial"/>
                <w:sz w:val="20"/>
                <w:szCs w:val="20"/>
                <w:highlight w:val="green"/>
                <w:lang w:eastAsia="ja-JP"/>
              </w:rPr>
              <w:t>Agreement</w:t>
            </w:r>
          </w:p>
          <w:p w14:paraId="4A6F6AB8" w14:textId="77777777" w:rsidR="006721B1" w:rsidRPr="009F2042" w:rsidRDefault="006721B1" w:rsidP="004C330D">
            <w:pPr>
              <w:spacing w:after="0"/>
              <w:jc w:val="both"/>
              <w:rPr>
                <w:rFonts w:cs="Arial"/>
                <w:sz w:val="20"/>
                <w:szCs w:val="20"/>
                <w:lang w:eastAsia="ja-JP"/>
              </w:rPr>
            </w:pPr>
            <w:r w:rsidRPr="009F2042">
              <w:rPr>
                <w:rFonts w:cs="Arial"/>
                <w:sz w:val="20"/>
                <w:szCs w:val="20"/>
                <w:lang w:eastAsia="ja-JP"/>
              </w:rPr>
              <w:t>Decide in RAN1#106-e whether to support an IAB-node indicating assistance information to help with its MT’s UL TX power control. The assistance information can be:</w:t>
            </w:r>
          </w:p>
          <w:p w14:paraId="2F5DEB50" w14:textId="77777777" w:rsidR="006721B1" w:rsidRPr="009F2042" w:rsidRDefault="006721B1" w:rsidP="004C330D">
            <w:pPr>
              <w:pStyle w:val="ListParagraph"/>
              <w:numPr>
                <w:ilvl w:val="0"/>
                <w:numId w:val="24"/>
              </w:numPr>
              <w:jc w:val="both"/>
              <w:rPr>
                <w:rFonts w:ascii="Arial" w:hAnsi="Arial" w:cs="Arial"/>
                <w:sz w:val="20"/>
                <w:szCs w:val="20"/>
                <w:lang w:val="en-US" w:eastAsia="ja-JP"/>
              </w:rPr>
            </w:pPr>
            <w:r w:rsidRPr="009F2042">
              <w:rPr>
                <w:rFonts w:ascii="Arial" w:hAnsi="Arial" w:cs="Arial"/>
                <w:sz w:val="20"/>
                <w:szCs w:val="20"/>
                <w:lang w:val="en-US" w:eastAsia="ja-JP"/>
              </w:rPr>
              <w:t>FFS: Desired TX power</w:t>
            </w:r>
          </w:p>
          <w:p w14:paraId="41192711" w14:textId="77777777" w:rsidR="006721B1" w:rsidRPr="009F2042" w:rsidRDefault="006721B1" w:rsidP="004C330D">
            <w:pPr>
              <w:pStyle w:val="ListParagraph"/>
              <w:numPr>
                <w:ilvl w:val="0"/>
                <w:numId w:val="24"/>
              </w:numPr>
              <w:jc w:val="both"/>
              <w:rPr>
                <w:rFonts w:ascii="Arial" w:hAnsi="Arial" w:cs="Arial"/>
                <w:sz w:val="20"/>
                <w:szCs w:val="20"/>
                <w:lang w:val="en-US" w:eastAsia="ja-JP"/>
              </w:rPr>
            </w:pPr>
            <w:r w:rsidRPr="009F2042">
              <w:rPr>
                <w:rFonts w:ascii="Arial" w:hAnsi="Arial" w:cs="Arial"/>
                <w:sz w:val="20"/>
                <w:szCs w:val="20"/>
                <w:lang w:val="en-US" w:eastAsia="ja-JP"/>
              </w:rPr>
              <w:t>FFS: Offset to a baseline PHR</w:t>
            </w:r>
          </w:p>
          <w:p w14:paraId="7CFC8A31" w14:textId="77777777" w:rsidR="006721B1" w:rsidRPr="009F2042" w:rsidRDefault="006721B1" w:rsidP="004C330D">
            <w:pPr>
              <w:pStyle w:val="ListParagraph"/>
              <w:numPr>
                <w:ilvl w:val="0"/>
                <w:numId w:val="24"/>
              </w:numPr>
              <w:jc w:val="both"/>
              <w:rPr>
                <w:rFonts w:ascii="Arial" w:hAnsi="Arial" w:cs="Arial"/>
                <w:sz w:val="20"/>
                <w:szCs w:val="20"/>
                <w:lang w:val="en-US" w:eastAsia="ja-JP"/>
              </w:rPr>
            </w:pPr>
            <w:r w:rsidRPr="009F2042">
              <w:rPr>
                <w:rFonts w:ascii="Arial" w:hAnsi="Arial" w:cs="Arial"/>
                <w:sz w:val="20"/>
                <w:szCs w:val="20"/>
                <w:lang w:val="en-US" w:eastAsia="ja-JP"/>
              </w:rPr>
              <w:t>FFS: Desired dynamic range</w:t>
            </w:r>
          </w:p>
          <w:p w14:paraId="58AE355D" w14:textId="77777777" w:rsidR="00334690" w:rsidRPr="009F2042" w:rsidRDefault="006721B1" w:rsidP="004C330D">
            <w:pPr>
              <w:spacing w:after="0"/>
              <w:jc w:val="both"/>
              <w:rPr>
                <w:rFonts w:cs="Arial"/>
                <w:sz w:val="20"/>
                <w:szCs w:val="20"/>
                <w:lang w:eastAsia="ja-JP"/>
              </w:rPr>
            </w:pPr>
            <w:r w:rsidRPr="009F2042">
              <w:rPr>
                <w:rFonts w:cs="Arial"/>
                <w:sz w:val="20"/>
                <w:szCs w:val="20"/>
                <w:lang w:eastAsia="ja-JP"/>
              </w:rPr>
              <w:t>FFS: whether this information is provided to the parent-node, the CU, or both.</w:t>
            </w:r>
          </w:p>
          <w:p w14:paraId="5BB5117D" w14:textId="0ABEE6F0" w:rsidR="006721B1" w:rsidRPr="009F2042" w:rsidRDefault="006721B1" w:rsidP="004C330D">
            <w:pPr>
              <w:jc w:val="both"/>
              <w:rPr>
                <w:lang w:eastAsia="ja-JP"/>
              </w:rPr>
            </w:pPr>
            <w:r w:rsidRPr="009F2042">
              <w:rPr>
                <w:rFonts w:cs="Arial"/>
                <w:sz w:val="20"/>
                <w:szCs w:val="20"/>
                <w:lang w:eastAsia="ja-JP"/>
              </w:rPr>
              <w:t>FFS: whether the MT’s UL TX power control formula needs to be changed</w:t>
            </w:r>
          </w:p>
        </w:tc>
      </w:tr>
    </w:tbl>
    <w:p w14:paraId="76079A27" w14:textId="43DCE1BA" w:rsidR="004C6559" w:rsidRPr="009F2042" w:rsidRDefault="004328B1" w:rsidP="00ED6838">
      <w:pPr>
        <w:spacing w:before="240"/>
        <w:jc w:val="both"/>
        <w:rPr>
          <w:lang w:eastAsia="ja-JP"/>
        </w:rPr>
      </w:pPr>
      <w:r w:rsidRPr="009F2042">
        <w:rPr>
          <w:lang w:eastAsia="ja-JP"/>
        </w:rPr>
        <w:t xml:space="preserve">With respect to the FFSs in the agreement, it is possible to identify </w:t>
      </w:r>
      <w:r w:rsidR="00B01471" w:rsidRPr="009F2042">
        <w:rPr>
          <w:lang w:eastAsia="ja-JP"/>
        </w:rPr>
        <w:t xml:space="preserve">both </w:t>
      </w:r>
      <w:r w:rsidRPr="009F2042">
        <w:rPr>
          <w:lang w:eastAsia="ja-JP"/>
        </w:rPr>
        <w:t>some d</w:t>
      </w:r>
      <w:r w:rsidR="00B01471" w:rsidRPr="009F2042">
        <w:rPr>
          <w:lang w:eastAsia="ja-JP"/>
        </w:rPr>
        <w:t>i</w:t>
      </w:r>
      <w:r w:rsidRPr="009F2042">
        <w:rPr>
          <w:lang w:eastAsia="ja-JP"/>
        </w:rPr>
        <w:t>fferences and similarities</w:t>
      </w:r>
      <w:r w:rsidR="00030BDF" w:rsidRPr="009F2042">
        <w:rPr>
          <w:lang w:eastAsia="ja-JP"/>
        </w:rPr>
        <w:t xml:space="preserve"> among them</w:t>
      </w:r>
      <w:r w:rsidR="00B01471" w:rsidRPr="009F2042">
        <w:rPr>
          <w:lang w:eastAsia="ja-JP"/>
        </w:rPr>
        <w:t>.</w:t>
      </w:r>
    </w:p>
    <w:p w14:paraId="1C556CE9" w14:textId="750D5190" w:rsidR="00B83C40" w:rsidRPr="009F2042" w:rsidRDefault="00B01471" w:rsidP="00ED6838">
      <w:pPr>
        <w:jc w:val="both"/>
        <w:rPr>
          <w:lang w:eastAsia="ja-JP"/>
        </w:rPr>
      </w:pPr>
      <w:r w:rsidRPr="009F2042">
        <w:rPr>
          <w:lang w:eastAsia="ja-JP"/>
        </w:rPr>
        <w:t xml:space="preserve">First, </w:t>
      </w:r>
      <w:r w:rsidR="00F62C11" w:rsidRPr="009F2042">
        <w:rPr>
          <w:lang w:eastAsia="ja-JP"/>
        </w:rPr>
        <w:t xml:space="preserve">the parent IAB-DU receiving the IAB-MT’s UL power control signaling has no understanding of the </w:t>
      </w:r>
      <w:r w:rsidR="00237971" w:rsidRPr="009F2042">
        <w:rPr>
          <w:lang w:eastAsia="ja-JP"/>
        </w:rPr>
        <w:t xml:space="preserve">presently </w:t>
      </w:r>
      <w:r w:rsidR="00F62C11" w:rsidRPr="009F2042">
        <w:rPr>
          <w:lang w:eastAsia="ja-JP"/>
        </w:rPr>
        <w:t>use</w:t>
      </w:r>
      <w:r w:rsidR="00237971" w:rsidRPr="009F2042">
        <w:rPr>
          <w:lang w:eastAsia="ja-JP"/>
        </w:rPr>
        <w:t>d</w:t>
      </w:r>
      <w:r w:rsidR="00F62C11" w:rsidRPr="009F2042">
        <w:rPr>
          <w:lang w:eastAsia="ja-JP"/>
        </w:rPr>
        <w:t xml:space="preserve"> T</w:t>
      </w:r>
      <w:r w:rsidR="0052451F" w:rsidRPr="009F2042">
        <w:rPr>
          <w:lang w:eastAsia="ja-JP"/>
        </w:rPr>
        <w:t>x</w:t>
      </w:r>
      <w:r w:rsidR="00F62C11" w:rsidRPr="009F2042">
        <w:rPr>
          <w:lang w:eastAsia="ja-JP"/>
        </w:rPr>
        <w:t xml:space="preserve"> power levels in the IAB-MT.</w:t>
      </w:r>
      <w:r w:rsidR="00237971" w:rsidRPr="009F2042">
        <w:rPr>
          <w:lang w:eastAsia="ja-JP"/>
        </w:rPr>
        <w:t xml:space="preserve"> The power headroom report (PHR) only indicates the difference in T</w:t>
      </w:r>
      <w:r w:rsidR="0052451F" w:rsidRPr="009F2042">
        <w:rPr>
          <w:lang w:eastAsia="ja-JP"/>
        </w:rPr>
        <w:t>x</w:t>
      </w:r>
      <w:r w:rsidR="00237971" w:rsidRPr="009F2042">
        <w:rPr>
          <w:lang w:eastAsia="ja-JP"/>
        </w:rPr>
        <w:t xml:space="preserve"> power compared to the absolute maximum</w:t>
      </w:r>
      <w:r w:rsidR="00F545CB" w:rsidRPr="009F2042">
        <w:rPr>
          <w:lang w:eastAsia="ja-JP"/>
        </w:rPr>
        <w:t xml:space="preserve"> (and a negative PHR value represents the amount by which </w:t>
      </w:r>
      <w:r w:rsidR="00D6131D" w:rsidRPr="009F2042">
        <w:rPr>
          <w:lang w:eastAsia="ja-JP"/>
        </w:rPr>
        <w:t>a</w:t>
      </w:r>
      <w:r w:rsidR="00F545CB" w:rsidRPr="009F2042">
        <w:rPr>
          <w:lang w:eastAsia="ja-JP"/>
        </w:rPr>
        <w:t xml:space="preserve"> </w:t>
      </w:r>
      <w:r w:rsidR="00570D29" w:rsidRPr="009F2042">
        <w:rPr>
          <w:lang w:eastAsia="ja-JP"/>
        </w:rPr>
        <w:t>maximum allowed value is exceeded</w:t>
      </w:r>
      <w:r w:rsidR="00F545CB" w:rsidRPr="009F2042">
        <w:rPr>
          <w:lang w:eastAsia="ja-JP"/>
        </w:rPr>
        <w:t>)</w:t>
      </w:r>
      <w:r w:rsidR="00237971" w:rsidRPr="009F2042">
        <w:rPr>
          <w:lang w:eastAsia="ja-JP"/>
        </w:rPr>
        <w:t>.</w:t>
      </w:r>
      <w:r w:rsidR="00F62C11" w:rsidRPr="009F2042">
        <w:rPr>
          <w:lang w:eastAsia="ja-JP"/>
        </w:rPr>
        <w:t xml:space="preserve"> Hence, the parent IAB-DU </w:t>
      </w:r>
      <w:r w:rsidR="00237971" w:rsidRPr="009F2042">
        <w:rPr>
          <w:lang w:eastAsia="ja-JP"/>
        </w:rPr>
        <w:t>h</w:t>
      </w:r>
      <w:r w:rsidR="00F62C11" w:rsidRPr="009F2042">
        <w:rPr>
          <w:lang w:eastAsia="ja-JP"/>
        </w:rPr>
        <w:t>as no reference for a desired T</w:t>
      </w:r>
      <w:r w:rsidR="0052451F" w:rsidRPr="009F2042">
        <w:rPr>
          <w:lang w:eastAsia="ja-JP"/>
        </w:rPr>
        <w:t>x</w:t>
      </w:r>
      <w:r w:rsidR="00F62C11" w:rsidRPr="009F2042">
        <w:rPr>
          <w:lang w:eastAsia="ja-JP"/>
        </w:rPr>
        <w:t xml:space="preserve"> power</w:t>
      </w:r>
      <w:r w:rsidR="00237971" w:rsidRPr="009F2042">
        <w:rPr>
          <w:lang w:eastAsia="ja-JP"/>
        </w:rPr>
        <w:t xml:space="preserve"> and any signaling of such would require a further signaling of T</w:t>
      </w:r>
      <w:r w:rsidR="0052451F" w:rsidRPr="009F2042">
        <w:rPr>
          <w:lang w:eastAsia="ja-JP"/>
        </w:rPr>
        <w:t>x</w:t>
      </w:r>
      <w:r w:rsidR="00237971" w:rsidRPr="009F2042">
        <w:rPr>
          <w:lang w:eastAsia="ja-JP"/>
        </w:rPr>
        <w:t xml:space="preserve"> power levels which is unnecessary.</w:t>
      </w:r>
      <w:r w:rsidR="00B83C40" w:rsidRPr="009F2042">
        <w:rPr>
          <w:lang w:eastAsia="ja-JP"/>
        </w:rPr>
        <w:t xml:space="preserve"> This is a difference compared to the </w:t>
      </w:r>
      <w:r w:rsidR="00D6131D" w:rsidRPr="009F2042">
        <w:rPr>
          <w:lang w:eastAsia="ja-JP"/>
        </w:rPr>
        <w:t>2</w:t>
      </w:r>
      <w:r w:rsidR="00D6131D" w:rsidRPr="009F2042">
        <w:rPr>
          <w:vertAlign w:val="superscript"/>
          <w:lang w:eastAsia="ja-JP"/>
        </w:rPr>
        <w:t>nd</w:t>
      </w:r>
      <w:r w:rsidR="00D6131D" w:rsidRPr="009F2042">
        <w:rPr>
          <w:lang w:eastAsia="ja-JP"/>
        </w:rPr>
        <w:t xml:space="preserve"> and 3</w:t>
      </w:r>
      <w:r w:rsidR="00D6131D" w:rsidRPr="009F2042">
        <w:rPr>
          <w:vertAlign w:val="superscript"/>
          <w:lang w:eastAsia="ja-JP"/>
        </w:rPr>
        <w:t>rd</w:t>
      </w:r>
      <w:r w:rsidR="00D6131D" w:rsidRPr="009F2042">
        <w:rPr>
          <w:lang w:eastAsia="ja-JP"/>
        </w:rPr>
        <w:t xml:space="preserve"> FFSs in the agreement</w:t>
      </w:r>
      <w:r w:rsidR="00B83C40" w:rsidRPr="009F2042">
        <w:rPr>
          <w:lang w:eastAsia="ja-JP"/>
        </w:rPr>
        <w:t>.</w:t>
      </w:r>
    </w:p>
    <w:p w14:paraId="1D7AC507" w14:textId="739547C2" w:rsidR="00D40F04" w:rsidRPr="009F2042" w:rsidRDefault="00D40F04" w:rsidP="00ED6838">
      <w:pPr>
        <w:pStyle w:val="Observation"/>
      </w:pPr>
      <w:bookmarkStart w:id="46" w:name="_Toc79180109"/>
      <w:r w:rsidRPr="009F2042">
        <w:t>Signaling a</w:t>
      </w:r>
      <w:r w:rsidR="00617085" w:rsidRPr="009F2042">
        <w:t xml:space="preserve"> desired Tx power </w:t>
      </w:r>
      <w:r w:rsidR="00C32F6D" w:rsidRPr="009F2042">
        <w:t>has no relation</w:t>
      </w:r>
      <w:r w:rsidR="00617085" w:rsidRPr="009F2042">
        <w:t xml:space="preserve"> to the present </w:t>
      </w:r>
      <w:r w:rsidR="00635C97" w:rsidRPr="009F2042">
        <w:t xml:space="preserve">transmit </w:t>
      </w:r>
      <w:r w:rsidR="00617085" w:rsidRPr="009F2042">
        <w:t>power level whereas sign</w:t>
      </w:r>
      <w:r w:rsidR="00C32F6D" w:rsidRPr="009F2042">
        <w:t>a</w:t>
      </w:r>
      <w:r w:rsidR="00617085" w:rsidRPr="009F2042">
        <w:t>ling either a</w:t>
      </w:r>
      <w:r w:rsidRPr="009F2042">
        <w:t xml:space="preserve">n offset to a PHR </w:t>
      </w:r>
      <w:r w:rsidR="00C32F6D" w:rsidRPr="009F2042">
        <w:t>or</w:t>
      </w:r>
      <w:r w:rsidRPr="009F2042">
        <w:t xml:space="preserve"> a desired dynamic range indicate</w:t>
      </w:r>
      <w:r w:rsidR="00C32F6D" w:rsidRPr="009F2042">
        <w:t>s</w:t>
      </w:r>
      <w:r w:rsidRPr="009F2042">
        <w:t xml:space="preserve"> </w:t>
      </w:r>
      <w:r w:rsidR="00617085" w:rsidRPr="009F2042">
        <w:t xml:space="preserve">a preferred </w:t>
      </w:r>
      <w:r w:rsidR="00386239" w:rsidRPr="009F2042">
        <w:t xml:space="preserve">Tx power </w:t>
      </w:r>
      <w:r w:rsidR="00EE7171" w:rsidRPr="009F2042">
        <w:t>threshold</w:t>
      </w:r>
      <w:r w:rsidR="00617085" w:rsidRPr="009F2042">
        <w:t xml:space="preserve"> </w:t>
      </w:r>
      <w:r w:rsidRPr="009F2042">
        <w:t xml:space="preserve">compared to </w:t>
      </w:r>
      <w:r w:rsidR="00617085" w:rsidRPr="009F2042">
        <w:t xml:space="preserve">the </w:t>
      </w:r>
      <w:r w:rsidRPr="009F2042">
        <w:t>presen</w:t>
      </w:r>
      <w:r w:rsidR="00617085" w:rsidRPr="009F2042">
        <w:t>t</w:t>
      </w:r>
      <w:r w:rsidR="00EE7171" w:rsidRPr="009F2042">
        <w:t xml:space="preserve"> Tx power level</w:t>
      </w:r>
      <w:r w:rsidRPr="009F2042">
        <w:t>.</w:t>
      </w:r>
      <w:bookmarkEnd w:id="46"/>
    </w:p>
    <w:p w14:paraId="7C8ABF97" w14:textId="21BC8AAE" w:rsidR="00BC7FD6" w:rsidRPr="009F2042" w:rsidRDefault="0052451F" w:rsidP="00ED6838">
      <w:pPr>
        <w:jc w:val="both"/>
      </w:pPr>
      <w:r w:rsidRPr="009F2042">
        <w:lastRenderedPageBreak/>
        <w:t>Second, both signaling of an offset towards a baseline PHR and signaling of a preferred dynamic range</w:t>
      </w:r>
      <w:r w:rsidR="00EE7171" w:rsidRPr="009F2042">
        <w:t xml:space="preserve"> combined with a PHR</w:t>
      </w:r>
      <w:r w:rsidRPr="009F2042">
        <w:t xml:space="preserve"> would allow the parent IAB-DU to learn about the Tx power </w:t>
      </w:r>
      <w:r w:rsidR="00386239" w:rsidRPr="009F2042">
        <w:t>threshold</w:t>
      </w:r>
      <w:r w:rsidR="00780E53" w:rsidRPr="009F2042">
        <w:t>,</w:t>
      </w:r>
      <w:r w:rsidR="00386239" w:rsidRPr="009F2042">
        <w:t xml:space="preserve"> </w:t>
      </w:r>
      <w:r w:rsidRPr="009F2042">
        <w:t xml:space="preserve">below which the enhanced mode of operation for the IAB node </w:t>
      </w:r>
      <w:r w:rsidR="00386239" w:rsidRPr="009F2042">
        <w:t>needs to</w:t>
      </w:r>
      <w:r w:rsidRPr="009F2042">
        <w:t xml:space="preserve"> change</w:t>
      </w:r>
      <w:r w:rsidR="00BC7FD6" w:rsidRPr="009F2042">
        <w:t xml:space="preserve">, see </w:t>
      </w:r>
      <w:r w:rsidR="00B46F5A" w:rsidRPr="009F2042">
        <w:fldChar w:fldCharType="begin"/>
      </w:r>
      <w:r w:rsidR="00B46F5A" w:rsidRPr="009F2042">
        <w:instrText xml:space="preserve"> REF _Ref74902097 \h </w:instrText>
      </w:r>
      <w:r w:rsidR="00986820" w:rsidRPr="009F2042">
        <w:instrText xml:space="preserve"> \* MERGEFORMAT </w:instrText>
      </w:r>
      <w:r w:rsidR="00B46F5A" w:rsidRPr="009F2042">
        <w:fldChar w:fldCharType="separate"/>
      </w:r>
      <w:r w:rsidR="00BC7F0D" w:rsidRPr="009F2042">
        <w:t xml:space="preserve">Figure </w:t>
      </w:r>
      <w:r w:rsidR="00BC7F0D">
        <w:rPr>
          <w:noProof/>
        </w:rPr>
        <w:t>1</w:t>
      </w:r>
      <w:r w:rsidR="00B46F5A" w:rsidRPr="009F2042">
        <w:fldChar w:fldCharType="end"/>
      </w:r>
      <w:r w:rsidRPr="009F2042">
        <w:t>.</w:t>
      </w:r>
      <w:r w:rsidR="00E8176A" w:rsidRPr="009F2042">
        <w:t xml:space="preserve"> However, there is one significant difference between the two: </w:t>
      </w:r>
      <w:r w:rsidR="00801597" w:rsidRPr="009F2042">
        <w:t>s</w:t>
      </w:r>
      <w:r w:rsidR="00E8176A" w:rsidRPr="009F2042">
        <w:t xml:space="preserve">ignaling an offset </w:t>
      </w:r>
      <w:r w:rsidR="00801597" w:rsidRPr="009F2042">
        <w:t>compared to a dynamic</w:t>
      </w:r>
      <w:r w:rsidR="00E8176A" w:rsidRPr="009F2042">
        <w:t xml:space="preserve"> baseline PHR</w:t>
      </w:r>
      <w:r w:rsidR="00801597" w:rsidRPr="009F2042">
        <w:t xml:space="preserve"> will result in a dynamic </w:t>
      </w:r>
      <w:r w:rsidR="00E8176A" w:rsidRPr="009F2042">
        <w:t>offset</w:t>
      </w:r>
      <w:r w:rsidR="00801597" w:rsidRPr="009F2042">
        <w:t>, whereas signaling a preferred dynamic range is static</w:t>
      </w:r>
      <w:r w:rsidR="0048326C" w:rsidRPr="009F2042">
        <w:t xml:space="preserve"> information. Hence, the signaling frequency of the two is likely to differ substantially.</w:t>
      </w:r>
      <w:r w:rsidR="00691E01" w:rsidRPr="009F2042">
        <w:t xml:space="preserve"> For this reason, we prefer signaling of the desired dynamic range, based on which the parent node can continually determin</w:t>
      </w:r>
      <w:r w:rsidR="002A55D4" w:rsidRPr="009F2042">
        <w:t>ing</w:t>
      </w:r>
      <w:r w:rsidR="00691E01" w:rsidRPr="009F2042">
        <w:t xml:space="preserve"> whether the conditions allow the IAB node to operate in an enhance</w:t>
      </w:r>
      <w:r w:rsidR="008915FC" w:rsidRPr="009F2042">
        <w:t>d</w:t>
      </w:r>
      <w:r w:rsidR="00691E01" w:rsidRPr="009F2042">
        <w:t xml:space="preserve"> mode or not.</w:t>
      </w:r>
    </w:p>
    <w:p w14:paraId="2953928F" w14:textId="66DCB280" w:rsidR="00BC7FD6" w:rsidRPr="009F2042" w:rsidRDefault="00FF38E1" w:rsidP="004C330D">
      <w:pPr>
        <w:keepNext/>
        <w:jc w:val="center"/>
      </w:pPr>
      <w:r w:rsidRPr="009F2042">
        <w:rPr>
          <w:noProof/>
        </w:rPr>
        <w:object w:dxaOrig="10261" w:dyaOrig="6121" w14:anchorId="70908D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alt="" style="width:482pt;height:287.5pt;mso-width-percent:0;mso-height-percent:0;mso-width-percent:0;mso-height-percent:0" o:ole="">
            <v:imagedata r:id="rId8" o:title=""/>
          </v:shape>
          <o:OLEObject Type="Embed" ProgID="Visio.Drawing.15" ShapeID="_x0000_i1036" DrawAspect="Content" ObjectID="_1689793045" r:id="rId9"/>
        </w:object>
      </w:r>
    </w:p>
    <w:p w14:paraId="062A3F6F" w14:textId="1610C73D" w:rsidR="00BC7FD6" w:rsidRPr="009F2042" w:rsidRDefault="00BC7FD6" w:rsidP="00ED6838">
      <w:pPr>
        <w:pStyle w:val="Caption"/>
        <w:jc w:val="center"/>
      </w:pPr>
      <w:bookmarkStart w:id="47" w:name="_Ref74902097"/>
      <w:r w:rsidRPr="009F2042">
        <w:t xml:space="preserve">Figure </w:t>
      </w:r>
      <w:r w:rsidRPr="009F2042">
        <w:fldChar w:fldCharType="begin"/>
      </w:r>
      <w:r w:rsidRPr="009F2042">
        <w:instrText xml:space="preserve"> SEQ Figure \* ARABIC </w:instrText>
      </w:r>
      <w:r w:rsidRPr="009F2042">
        <w:fldChar w:fldCharType="separate"/>
      </w:r>
      <w:r w:rsidR="00BC7F0D">
        <w:rPr>
          <w:noProof/>
        </w:rPr>
        <w:t>1</w:t>
      </w:r>
      <w:r w:rsidRPr="009F2042">
        <w:fldChar w:fldCharType="end"/>
      </w:r>
      <w:bookmarkEnd w:id="47"/>
      <w:r w:rsidRPr="009F2042">
        <w:t xml:space="preserve">: Illustration of a </w:t>
      </w:r>
      <w:r w:rsidRPr="009F2042">
        <w:rPr>
          <w:i/>
          <w:iCs/>
        </w:rPr>
        <w:t>preferred dynamic range</w:t>
      </w:r>
      <w:r w:rsidRPr="009F2042">
        <w:t xml:space="preserve"> and </w:t>
      </w:r>
      <w:r w:rsidRPr="009F2042">
        <w:rPr>
          <w:i/>
          <w:iCs/>
        </w:rPr>
        <w:t>offset to PHR</w:t>
      </w:r>
      <w:r w:rsidRPr="009F2042">
        <w:t>.</w:t>
      </w:r>
    </w:p>
    <w:p w14:paraId="200C86CE" w14:textId="0A95A124" w:rsidR="0052451F" w:rsidRPr="009F2042" w:rsidRDefault="00691E01" w:rsidP="00ED6838">
      <w:pPr>
        <w:jc w:val="both"/>
      </w:pPr>
      <w:r w:rsidRPr="009F2042">
        <w:t xml:space="preserve"> </w:t>
      </w:r>
    </w:p>
    <w:p w14:paraId="72C6688C" w14:textId="1DAEBFC6" w:rsidR="00D40F04" w:rsidRPr="009F2042" w:rsidRDefault="006B5310" w:rsidP="00ED6838">
      <w:pPr>
        <w:pStyle w:val="Observation"/>
      </w:pPr>
      <w:bookmarkStart w:id="48" w:name="_Toc79180110"/>
      <w:r w:rsidRPr="009F2042">
        <w:t>A</w:t>
      </w:r>
      <w:r w:rsidR="00D40F04" w:rsidRPr="009F2042">
        <w:t xml:space="preserve">n </w:t>
      </w:r>
      <w:r w:rsidR="00D40F04" w:rsidRPr="009F2042">
        <w:rPr>
          <w:i/>
        </w:rPr>
        <w:t xml:space="preserve">offset </w:t>
      </w:r>
      <w:r w:rsidR="00B46F5A" w:rsidRPr="009F2042">
        <w:rPr>
          <w:i/>
        </w:rPr>
        <w:t>to a PHR</w:t>
      </w:r>
      <w:r w:rsidR="00B46F5A" w:rsidRPr="009F2042">
        <w:t xml:space="preserve"> </w:t>
      </w:r>
      <w:r w:rsidR="00D40F04" w:rsidRPr="009F2042">
        <w:t xml:space="preserve">is </w:t>
      </w:r>
      <w:r w:rsidR="00B46F5A" w:rsidRPr="009F2042">
        <w:t>dynamic in that it varies with</w:t>
      </w:r>
      <w:r w:rsidRPr="009F2042">
        <w:t xml:space="preserve"> </w:t>
      </w:r>
      <w:r w:rsidR="00B46F5A" w:rsidRPr="009F2042">
        <w:t>the</w:t>
      </w:r>
      <w:r w:rsidRPr="009F2042">
        <w:t xml:space="preserve"> Tx power levels whereas a </w:t>
      </w:r>
      <w:r w:rsidR="00B46F5A" w:rsidRPr="009F2042">
        <w:rPr>
          <w:i/>
        </w:rPr>
        <w:t xml:space="preserve">preferred </w:t>
      </w:r>
      <w:r w:rsidRPr="009F2042">
        <w:rPr>
          <w:i/>
        </w:rPr>
        <w:t>dynamic range</w:t>
      </w:r>
      <w:r w:rsidRPr="009F2042">
        <w:t xml:space="preserve"> is static, </w:t>
      </w:r>
      <w:r w:rsidR="00B46F5A" w:rsidRPr="009F2042">
        <w:t>thereby</w:t>
      </w:r>
      <w:r w:rsidRPr="009F2042">
        <w:t xml:space="preserve"> requiring less signaling</w:t>
      </w:r>
      <w:r w:rsidR="00D50AC7" w:rsidRPr="009F2042">
        <w:t>.</w:t>
      </w:r>
      <w:bookmarkEnd w:id="48"/>
    </w:p>
    <w:p w14:paraId="770B7397" w14:textId="0B79F892" w:rsidR="006B5310" w:rsidRPr="009F2042" w:rsidRDefault="00D50AC7" w:rsidP="00ED6838">
      <w:pPr>
        <w:pStyle w:val="Proposal"/>
      </w:pPr>
      <w:bookmarkStart w:id="49" w:name="_Toc79180130"/>
      <w:r w:rsidRPr="009F2042">
        <w:t>The IAB node indicates</w:t>
      </w:r>
      <w:r w:rsidR="006B5310" w:rsidRPr="009F2042">
        <w:t xml:space="preserve"> a desired dynamic range for simultaneous operation to </w:t>
      </w:r>
      <w:r w:rsidRPr="009F2042">
        <w:t>its</w:t>
      </w:r>
      <w:r w:rsidR="006B5310" w:rsidRPr="009F2042">
        <w:t xml:space="preserve"> parent IAB node(s).</w:t>
      </w:r>
      <w:bookmarkEnd w:id="49"/>
    </w:p>
    <w:p w14:paraId="1E556F4B" w14:textId="73B37E71" w:rsidR="006721B1" w:rsidRPr="009F2042" w:rsidRDefault="006721B1" w:rsidP="004C330D">
      <w:pPr>
        <w:pStyle w:val="Heading2"/>
        <w:jc w:val="both"/>
        <w:rPr>
          <w:lang w:val="en-US"/>
        </w:rPr>
      </w:pPr>
      <w:r w:rsidRPr="009F2042">
        <w:rPr>
          <w:lang w:val="en-US"/>
        </w:rPr>
        <w:t>DL power control</w:t>
      </w:r>
    </w:p>
    <w:p w14:paraId="4806B7A7" w14:textId="677B1B30" w:rsidR="00EC01CA" w:rsidRPr="009F2042" w:rsidRDefault="00EC01CA" w:rsidP="00ED6838">
      <w:pPr>
        <w:jc w:val="both"/>
      </w:pPr>
      <w:r w:rsidRPr="009F2042">
        <w:rPr>
          <w:lang w:eastAsia="ja-JP"/>
        </w:rPr>
        <w:t xml:space="preserve">In RAN1 </w:t>
      </w:r>
      <w:r w:rsidR="00C21173" w:rsidRPr="009F2042">
        <w:rPr>
          <w:lang w:eastAsia="ja-JP"/>
        </w:rPr>
        <w:t xml:space="preserve">#104-e and RAN1 </w:t>
      </w:r>
      <w:r w:rsidRPr="009F2042">
        <w:rPr>
          <w:lang w:eastAsia="ja-JP"/>
        </w:rPr>
        <w:t>#105-e, the following agreement</w:t>
      </w:r>
      <w:r w:rsidR="00C21173" w:rsidRPr="009F2042">
        <w:rPr>
          <w:lang w:eastAsia="ja-JP"/>
        </w:rPr>
        <w:t>s</w:t>
      </w:r>
      <w:r w:rsidRPr="009F2042">
        <w:rPr>
          <w:lang w:eastAsia="ja-JP"/>
        </w:rPr>
        <w:t xml:space="preserve"> w</w:t>
      </w:r>
      <w:r w:rsidR="00C21173" w:rsidRPr="009F2042">
        <w:rPr>
          <w:lang w:eastAsia="ja-JP"/>
        </w:rPr>
        <w:t>ere</w:t>
      </w:r>
      <w:r w:rsidRPr="009F2042">
        <w:rPr>
          <w:lang w:eastAsia="ja-JP"/>
        </w:rPr>
        <w:t xml:space="preserve"> made regarding DL power control</w:t>
      </w:r>
      <w:r w:rsidR="003925FB" w:rsidRPr="009F2042">
        <w:rPr>
          <w:lang w:eastAsia="ja-JP"/>
        </w:rPr>
        <w:t xml:space="preserve"> </w:t>
      </w:r>
      <w:r w:rsidR="00847B37" w:rsidRPr="009F2042">
        <w:rPr>
          <w:lang w:eastAsia="ja-JP"/>
        </w:rPr>
        <w:fldChar w:fldCharType="begin"/>
      </w:r>
      <w:r w:rsidR="00847B37" w:rsidRPr="009F2042">
        <w:rPr>
          <w:lang w:eastAsia="ja-JP"/>
        </w:rPr>
        <w:instrText xml:space="preserve"> REF _Ref77157742 \r \h </w:instrText>
      </w:r>
      <w:r w:rsidR="00986820" w:rsidRPr="009F2042">
        <w:rPr>
          <w:lang w:eastAsia="ja-JP"/>
        </w:rPr>
        <w:instrText xml:space="preserve"> \* MERGEFORMAT </w:instrText>
      </w:r>
      <w:r w:rsidR="00847B37" w:rsidRPr="009F2042">
        <w:rPr>
          <w:lang w:eastAsia="ja-JP"/>
        </w:rPr>
      </w:r>
      <w:r w:rsidR="00847B37" w:rsidRPr="009F2042">
        <w:rPr>
          <w:lang w:eastAsia="ja-JP"/>
        </w:rPr>
        <w:fldChar w:fldCharType="separate"/>
      </w:r>
      <w:r w:rsidR="00BC7F0D">
        <w:rPr>
          <w:lang w:eastAsia="ja-JP"/>
        </w:rPr>
        <w:t>[3]</w:t>
      </w:r>
      <w:r w:rsidR="00847B37" w:rsidRPr="009F2042">
        <w:rPr>
          <w:lang w:eastAsia="ja-JP"/>
        </w:rPr>
        <w:fldChar w:fldCharType="end"/>
      </w:r>
      <w:r w:rsidR="00847B37" w:rsidRPr="009F2042">
        <w:rPr>
          <w:lang w:eastAsia="ja-JP"/>
        </w:rPr>
        <w:fldChar w:fldCharType="begin"/>
      </w:r>
      <w:r w:rsidR="00847B37" w:rsidRPr="009F2042">
        <w:rPr>
          <w:lang w:eastAsia="ja-JP"/>
        </w:rPr>
        <w:instrText xml:space="preserve"> REF _Ref77166368 \r \h </w:instrText>
      </w:r>
      <w:r w:rsidR="00986820" w:rsidRPr="009F2042">
        <w:rPr>
          <w:lang w:eastAsia="ja-JP"/>
        </w:rPr>
        <w:instrText xml:space="preserve"> \* MERGEFORMAT </w:instrText>
      </w:r>
      <w:r w:rsidR="00847B37" w:rsidRPr="009F2042">
        <w:rPr>
          <w:lang w:eastAsia="ja-JP"/>
        </w:rPr>
      </w:r>
      <w:r w:rsidR="00847B37" w:rsidRPr="009F2042">
        <w:rPr>
          <w:lang w:eastAsia="ja-JP"/>
        </w:rPr>
        <w:fldChar w:fldCharType="separate"/>
      </w:r>
      <w:r w:rsidR="00BC7F0D">
        <w:rPr>
          <w:lang w:eastAsia="ja-JP"/>
        </w:rPr>
        <w:t>[4]</w:t>
      </w:r>
      <w:r w:rsidR="00847B37" w:rsidRPr="009F2042">
        <w:rPr>
          <w:lang w:eastAsia="ja-JP"/>
        </w:rPr>
        <w:fldChar w:fldCharType="end"/>
      </w:r>
      <w:r w:rsidRPr="009F2042">
        <w:rPr>
          <w:lang w:eastAsia="ja-JP"/>
        </w:rPr>
        <w:t>:</w:t>
      </w:r>
    </w:p>
    <w:tbl>
      <w:tblPr>
        <w:tblStyle w:val="TableGrid"/>
        <w:tblW w:w="0" w:type="auto"/>
        <w:tblLook w:val="04A0" w:firstRow="1" w:lastRow="0" w:firstColumn="1" w:lastColumn="0" w:noHBand="0" w:noVBand="1"/>
      </w:tblPr>
      <w:tblGrid>
        <w:gridCol w:w="9629"/>
      </w:tblGrid>
      <w:tr w:rsidR="006721B1" w:rsidRPr="009F2042" w14:paraId="34DA1EE9" w14:textId="77777777" w:rsidTr="006721B1">
        <w:tc>
          <w:tcPr>
            <w:tcW w:w="9629" w:type="dxa"/>
          </w:tcPr>
          <w:p w14:paraId="34A00D84" w14:textId="77777777" w:rsidR="00C21173" w:rsidRPr="009F2042" w:rsidRDefault="00C21173" w:rsidP="00855669">
            <w:pPr>
              <w:jc w:val="both"/>
              <w:rPr>
                <w:rFonts w:cs="Arial"/>
                <w:sz w:val="20"/>
                <w:szCs w:val="20"/>
                <w:lang w:eastAsia="ja-JP"/>
              </w:rPr>
            </w:pPr>
            <w:r w:rsidRPr="009F2042">
              <w:rPr>
                <w:rFonts w:cs="Arial"/>
                <w:sz w:val="20"/>
                <w:szCs w:val="20"/>
                <w:highlight w:val="green"/>
                <w:lang w:eastAsia="ja-JP"/>
              </w:rPr>
              <w:t>Agreement</w:t>
            </w:r>
          </w:p>
          <w:p w14:paraId="5F21F3B0" w14:textId="77777777" w:rsidR="00C21173" w:rsidRPr="009F2042" w:rsidRDefault="00C21173" w:rsidP="004C330D">
            <w:pPr>
              <w:jc w:val="both"/>
              <w:rPr>
                <w:rFonts w:cs="Arial"/>
                <w:sz w:val="20"/>
                <w:szCs w:val="20"/>
                <w:lang w:eastAsia="ja-JP"/>
              </w:rPr>
            </w:pPr>
            <w:r w:rsidRPr="009F2042">
              <w:rPr>
                <w:rFonts w:cs="Arial"/>
                <w:sz w:val="20"/>
                <w:szCs w:val="20"/>
                <w:lang w:eastAsia="ja-JP"/>
              </w:rPr>
              <w:t>Support an IAB-node indicating information to assist with the DL power control of its parent-node towards the IAB-node without mandating an expected behavior at the parent node.</w:t>
            </w:r>
          </w:p>
          <w:p w14:paraId="32C48F22" w14:textId="77777777" w:rsidR="00C21173" w:rsidRPr="009F2042" w:rsidRDefault="00C21173" w:rsidP="004C330D">
            <w:pPr>
              <w:pStyle w:val="ListParagraph"/>
              <w:numPr>
                <w:ilvl w:val="0"/>
                <w:numId w:val="24"/>
              </w:numPr>
              <w:jc w:val="both"/>
              <w:rPr>
                <w:rFonts w:ascii="Arial" w:hAnsi="Arial" w:cs="Arial"/>
                <w:sz w:val="20"/>
                <w:szCs w:val="20"/>
                <w:lang w:val="en-US" w:eastAsia="ja-JP"/>
              </w:rPr>
            </w:pPr>
            <w:r w:rsidRPr="009F2042">
              <w:rPr>
                <w:rFonts w:ascii="Arial" w:hAnsi="Arial" w:cs="Arial"/>
                <w:sz w:val="20"/>
                <w:szCs w:val="20"/>
                <w:lang w:val="en-US" w:eastAsia="ja-JP"/>
              </w:rPr>
              <w:t>Note: At least the assistance information is for supporting the simultaneous operation within the IAB-node to avoid power imbalance</w:t>
            </w:r>
          </w:p>
          <w:p w14:paraId="46665E89" w14:textId="77777777" w:rsidR="00C21173" w:rsidRPr="009F2042" w:rsidRDefault="00C21173" w:rsidP="004C330D">
            <w:pPr>
              <w:pStyle w:val="ListParagraph"/>
              <w:numPr>
                <w:ilvl w:val="0"/>
                <w:numId w:val="24"/>
              </w:numPr>
              <w:jc w:val="both"/>
              <w:rPr>
                <w:rFonts w:ascii="Arial" w:hAnsi="Arial" w:cs="Arial"/>
                <w:sz w:val="20"/>
                <w:szCs w:val="20"/>
                <w:lang w:val="en-US" w:eastAsia="ja-JP"/>
              </w:rPr>
            </w:pPr>
            <w:r w:rsidRPr="009F2042">
              <w:rPr>
                <w:rFonts w:ascii="Arial" w:hAnsi="Arial" w:cs="Arial"/>
                <w:sz w:val="20"/>
                <w:szCs w:val="20"/>
                <w:lang w:val="en-US" w:eastAsia="ja-JP"/>
              </w:rPr>
              <w:t>FFS: type of assistance information (e.g., desired received power, power adjustment, preferred CSI-RS resource)</w:t>
            </w:r>
          </w:p>
          <w:p w14:paraId="016943C9" w14:textId="77777777" w:rsidR="00C21173" w:rsidRPr="009F2042" w:rsidRDefault="00C21173" w:rsidP="004C330D">
            <w:pPr>
              <w:pStyle w:val="ListParagraph"/>
              <w:numPr>
                <w:ilvl w:val="0"/>
                <w:numId w:val="24"/>
              </w:numPr>
              <w:jc w:val="both"/>
              <w:rPr>
                <w:rFonts w:ascii="Arial" w:hAnsi="Arial" w:cs="Arial"/>
                <w:sz w:val="20"/>
                <w:szCs w:val="20"/>
                <w:lang w:val="en-US" w:eastAsia="ja-JP"/>
              </w:rPr>
            </w:pPr>
            <w:r w:rsidRPr="009F2042">
              <w:rPr>
                <w:rFonts w:ascii="Arial" w:hAnsi="Arial" w:cs="Arial"/>
                <w:sz w:val="20"/>
                <w:szCs w:val="20"/>
                <w:lang w:val="en-US" w:eastAsia="ja-JP"/>
              </w:rPr>
              <w:t>FFS: whether this information is provided to the parent-node, the CU, or both.</w:t>
            </w:r>
          </w:p>
          <w:p w14:paraId="3B2E78E4" w14:textId="77777777" w:rsidR="00C21173" w:rsidRPr="009F2042" w:rsidRDefault="00C21173" w:rsidP="004C330D">
            <w:pPr>
              <w:pStyle w:val="ListParagraph"/>
              <w:numPr>
                <w:ilvl w:val="0"/>
                <w:numId w:val="24"/>
              </w:numPr>
              <w:jc w:val="both"/>
              <w:rPr>
                <w:rFonts w:ascii="Arial" w:hAnsi="Arial" w:cs="Arial"/>
                <w:sz w:val="20"/>
                <w:szCs w:val="20"/>
                <w:lang w:val="en-US" w:eastAsia="ja-JP"/>
              </w:rPr>
            </w:pPr>
            <w:r w:rsidRPr="009F2042">
              <w:rPr>
                <w:rFonts w:ascii="Arial" w:hAnsi="Arial" w:cs="Arial"/>
                <w:sz w:val="20"/>
                <w:szCs w:val="20"/>
                <w:lang w:val="en-US" w:eastAsia="ja-JP"/>
              </w:rPr>
              <w:t>FFS: applicability of the assistance information (</w:t>
            </w:r>
            <w:proofErr w:type="gramStart"/>
            <w:r w:rsidRPr="009F2042">
              <w:rPr>
                <w:rFonts w:ascii="Arial" w:hAnsi="Arial" w:cs="Arial"/>
                <w:sz w:val="20"/>
                <w:szCs w:val="20"/>
                <w:lang w:val="en-US" w:eastAsia="ja-JP"/>
              </w:rPr>
              <w:t>e.g.</w:t>
            </w:r>
            <w:proofErr w:type="gramEnd"/>
            <w:r w:rsidRPr="009F2042">
              <w:rPr>
                <w:rFonts w:ascii="Arial" w:hAnsi="Arial" w:cs="Arial"/>
                <w:sz w:val="20"/>
                <w:szCs w:val="20"/>
                <w:lang w:val="en-US" w:eastAsia="ja-JP"/>
              </w:rPr>
              <w:t xml:space="preserve"> relation to beams or multiplexing modes)</w:t>
            </w:r>
          </w:p>
          <w:p w14:paraId="1BCFEFBF" w14:textId="5021C925" w:rsidR="00C21173" w:rsidRPr="009F2042" w:rsidRDefault="00C21173" w:rsidP="004C330D">
            <w:pPr>
              <w:pStyle w:val="ListParagraph"/>
              <w:numPr>
                <w:ilvl w:val="0"/>
                <w:numId w:val="24"/>
              </w:numPr>
              <w:jc w:val="both"/>
              <w:rPr>
                <w:rFonts w:ascii="Arial" w:hAnsi="Arial" w:cs="Arial"/>
                <w:sz w:val="20"/>
                <w:szCs w:val="20"/>
                <w:lang w:val="en-US" w:eastAsia="ja-JP"/>
              </w:rPr>
            </w:pPr>
            <w:r w:rsidRPr="009F2042">
              <w:rPr>
                <w:rFonts w:ascii="Arial" w:hAnsi="Arial" w:cs="Arial"/>
                <w:sz w:val="20"/>
                <w:szCs w:val="20"/>
                <w:lang w:val="en-US" w:eastAsia="ja-JP"/>
              </w:rPr>
              <w:t>FFS: the channel carrying this assistance information</w:t>
            </w:r>
          </w:p>
          <w:p w14:paraId="2EE09C40" w14:textId="3F82E675" w:rsidR="006721B1" w:rsidRPr="009F2042" w:rsidRDefault="006721B1" w:rsidP="00DA25A7">
            <w:pPr>
              <w:jc w:val="both"/>
              <w:rPr>
                <w:rFonts w:cs="Arial"/>
                <w:sz w:val="20"/>
                <w:szCs w:val="20"/>
                <w:lang w:eastAsia="ja-JP"/>
              </w:rPr>
            </w:pPr>
            <w:r w:rsidRPr="009F2042">
              <w:rPr>
                <w:rFonts w:cs="Arial"/>
                <w:sz w:val="20"/>
                <w:szCs w:val="20"/>
                <w:highlight w:val="green"/>
                <w:lang w:eastAsia="ja-JP"/>
              </w:rPr>
              <w:lastRenderedPageBreak/>
              <w:t>Agreement</w:t>
            </w:r>
          </w:p>
          <w:p w14:paraId="79D7014A" w14:textId="77777777" w:rsidR="006721B1" w:rsidRPr="009F2042" w:rsidRDefault="006721B1" w:rsidP="004C330D">
            <w:pPr>
              <w:jc w:val="both"/>
              <w:rPr>
                <w:rFonts w:cs="Arial"/>
                <w:sz w:val="20"/>
                <w:szCs w:val="20"/>
                <w:lang w:eastAsia="ja-JP"/>
              </w:rPr>
            </w:pPr>
            <w:r w:rsidRPr="009F2042">
              <w:rPr>
                <w:rFonts w:cs="Arial"/>
                <w:sz w:val="20"/>
                <w:szCs w:val="20"/>
                <w:lang w:eastAsia="ja-JP"/>
              </w:rPr>
              <w:t>The information to assist DL power allocation of the parent-node is indicated by the IAB-MT to the parent node DU in terms of desired power adjustment.</w:t>
            </w:r>
          </w:p>
          <w:p w14:paraId="50A0689D" w14:textId="69364944" w:rsidR="006721B1" w:rsidRPr="009F2042" w:rsidRDefault="006721B1" w:rsidP="004C330D">
            <w:pPr>
              <w:pStyle w:val="ListParagraph"/>
              <w:numPr>
                <w:ilvl w:val="0"/>
                <w:numId w:val="24"/>
              </w:numPr>
              <w:spacing w:after="240"/>
              <w:jc w:val="both"/>
              <w:rPr>
                <w:lang w:val="en-US" w:eastAsia="ja-JP"/>
              </w:rPr>
            </w:pPr>
            <w:r w:rsidRPr="009F2042">
              <w:rPr>
                <w:rFonts w:ascii="Arial" w:hAnsi="Arial" w:cs="Arial"/>
                <w:sz w:val="20"/>
                <w:szCs w:val="20"/>
                <w:lang w:val="en-US" w:eastAsia="ja-JP"/>
              </w:rPr>
              <w:t xml:space="preserve">FFS applicability of assistance information, </w:t>
            </w:r>
            <w:proofErr w:type="gramStart"/>
            <w:r w:rsidRPr="009F2042">
              <w:rPr>
                <w:rFonts w:ascii="Arial" w:hAnsi="Arial" w:cs="Arial"/>
                <w:sz w:val="20"/>
                <w:szCs w:val="20"/>
                <w:lang w:val="en-US" w:eastAsia="ja-JP"/>
              </w:rPr>
              <w:t>e.g.</w:t>
            </w:r>
            <w:proofErr w:type="gramEnd"/>
            <w:r w:rsidRPr="009F2042">
              <w:rPr>
                <w:rFonts w:ascii="Arial" w:hAnsi="Arial" w:cs="Arial"/>
                <w:sz w:val="20"/>
                <w:szCs w:val="20"/>
                <w:lang w:val="en-US" w:eastAsia="ja-JP"/>
              </w:rPr>
              <w:t xml:space="preserve"> per multiplexing scenario, per resource, etc.</w:t>
            </w:r>
          </w:p>
        </w:tc>
      </w:tr>
    </w:tbl>
    <w:p w14:paraId="148879BE" w14:textId="79749CB6" w:rsidR="00AF3146" w:rsidRPr="009F2042" w:rsidRDefault="00EC01CA" w:rsidP="00ED6838">
      <w:pPr>
        <w:spacing w:before="240"/>
        <w:jc w:val="both"/>
      </w:pPr>
      <w:r w:rsidRPr="009F2042">
        <w:rPr>
          <w:lang w:eastAsia="ja-JP"/>
        </w:rPr>
        <w:lastRenderedPageBreak/>
        <w:t xml:space="preserve">DL power control is </w:t>
      </w:r>
      <w:r w:rsidRPr="009F2042">
        <w:t xml:space="preserve">significantly more sensitive </w:t>
      </w:r>
      <w:r w:rsidR="00C2626E" w:rsidRPr="009F2042">
        <w:t>than</w:t>
      </w:r>
      <w:r w:rsidRPr="009F2042">
        <w:t xml:space="preserve"> UL power control in that </w:t>
      </w:r>
      <w:r w:rsidR="004B2855" w:rsidRPr="009F2042">
        <w:t xml:space="preserve">all devices in the cell may be affected by it. </w:t>
      </w:r>
      <w:r w:rsidR="00E17662" w:rsidRPr="009F2042">
        <w:t xml:space="preserve">Hence, a reduced DL Tx power to an IAB-MT must not come at the expense of a reduced cell coverage or changed channel conditions </w:t>
      </w:r>
      <w:r w:rsidR="001C6DE0" w:rsidRPr="009F2042">
        <w:t>for</w:t>
      </w:r>
      <w:r w:rsidR="00E17662" w:rsidRPr="009F2042">
        <w:t xml:space="preserve"> </w:t>
      </w:r>
      <w:r w:rsidR="00930157" w:rsidRPr="009F2042">
        <w:t xml:space="preserve">legacy </w:t>
      </w:r>
      <w:r w:rsidR="001B516D" w:rsidRPr="009F2042">
        <w:t>UEs</w:t>
      </w:r>
      <w:r w:rsidR="00E17662" w:rsidRPr="009F2042">
        <w:t xml:space="preserve"> that are not expecting such changes.</w:t>
      </w:r>
      <w:r w:rsidR="00CF5C56" w:rsidRPr="009F2042">
        <w:t xml:space="preserve"> Doing that within a slot </w:t>
      </w:r>
      <w:r w:rsidR="00830261" w:rsidRPr="009F2042">
        <w:t xml:space="preserve">or even a symbol may prove difficult because present DUs cannot be expected to </w:t>
      </w:r>
      <w:r w:rsidR="00FC4BFD" w:rsidRPr="009F2042">
        <w:t>support</w:t>
      </w:r>
      <w:r w:rsidR="00830261" w:rsidRPr="009F2042">
        <w:t xml:space="preserve"> </w:t>
      </w:r>
      <w:r w:rsidR="00FC4BFD" w:rsidRPr="009F2042">
        <w:t xml:space="preserve">such power control </w:t>
      </w:r>
      <w:r w:rsidR="00830261" w:rsidRPr="009F2042">
        <w:t xml:space="preserve">functionality </w:t>
      </w:r>
      <w:r w:rsidR="00FC4BFD" w:rsidRPr="009F2042">
        <w:t xml:space="preserve">on a </w:t>
      </w:r>
      <w:r w:rsidR="00830261" w:rsidRPr="009F2042">
        <w:t xml:space="preserve">symbol level or even </w:t>
      </w:r>
      <w:r w:rsidR="00FC4BFD" w:rsidRPr="009F2042">
        <w:t>to apply different</w:t>
      </w:r>
      <w:r w:rsidR="003D5E67" w:rsidRPr="009F2042">
        <w:t>i</w:t>
      </w:r>
      <w:r w:rsidR="00FC4BFD" w:rsidRPr="009F2042">
        <w:t xml:space="preserve">ated </w:t>
      </w:r>
      <w:r w:rsidR="00830261" w:rsidRPr="009F2042">
        <w:t xml:space="preserve">power control </w:t>
      </w:r>
      <w:r w:rsidR="003D5E67" w:rsidRPr="009F2042">
        <w:t>within the</w:t>
      </w:r>
      <w:r w:rsidR="00930157" w:rsidRPr="009F2042">
        <w:t xml:space="preserve"> carrier or</w:t>
      </w:r>
      <w:r w:rsidR="003D5E67" w:rsidRPr="009F2042">
        <w:t xml:space="preserve"> </w:t>
      </w:r>
      <w:r w:rsidR="00930157" w:rsidRPr="009F2042">
        <w:t>BWP</w:t>
      </w:r>
      <w:r w:rsidR="00830261" w:rsidRPr="009F2042">
        <w:t>.</w:t>
      </w:r>
    </w:p>
    <w:p w14:paraId="4811ABDC" w14:textId="218110F8" w:rsidR="00121B97" w:rsidRPr="009F2042" w:rsidRDefault="00CF5C56" w:rsidP="00ED6838">
      <w:pPr>
        <w:jc w:val="both"/>
      </w:pPr>
      <w:r w:rsidRPr="009F2042">
        <w:t xml:space="preserve">One way of allowing differentiation between access and backhaul operations would be to differentiate </w:t>
      </w:r>
      <w:r w:rsidR="00AF3146" w:rsidRPr="009F2042">
        <w:t xml:space="preserve">between backhaul and access </w:t>
      </w:r>
      <w:r w:rsidRPr="009F2042">
        <w:t>slots</w:t>
      </w:r>
      <w:r w:rsidR="00AF3146" w:rsidRPr="009F2042">
        <w:t xml:space="preserve"> such that the IAB-DU can maintain a constant Tx power level towards UEs and apply power control to child IAB</w:t>
      </w:r>
      <w:r w:rsidR="00C23148" w:rsidRPr="009F2042">
        <w:t xml:space="preserve"> nodes.</w:t>
      </w:r>
      <w:r w:rsidR="00F67B63" w:rsidRPr="009F2042">
        <w:t xml:space="preserve"> This way, DL power control </w:t>
      </w:r>
      <w:r w:rsidR="001728BD" w:rsidRPr="009F2042">
        <w:t xml:space="preserve">procedure </w:t>
      </w:r>
      <w:r w:rsidR="00F67B63" w:rsidRPr="009F2042">
        <w:t xml:space="preserve">would have more flexibility </w:t>
      </w:r>
      <w:r w:rsidR="001728BD" w:rsidRPr="009F2042">
        <w:t>without inflicting any changes to access link behavior.</w:t>
      </w:r>
    </w:p>
    <w:p w14:paraId="539B3BD4" w14:textId="79ADBA26" w:rsidR="00555609" w:rsidRPr="009F2042" w:rsidRDefault="00555609" w:rsidP="00ED6838">
      <w:pPr>
        <w:pStyle w:val="Observation"/>
      </w:pPr>
      <w:bookmarkStart w:id="50" w:name="_Toc79180111"/>
      <w:r w:rsidRPr="009F2042">
        <w:t>Access slots require constant transmission power whereas power control in backhaul slots may be advantageous for simultaneous operation.</w:t>
      </w:r>
      <w:bookmarkEnd w:id="50"/>
    </w:p>
    <w:p w14:paraId="66E42EA9" w14:textId="6D94EF3B" w:rsidR="00CF5C56" w:rsidRPr="009F2042" w:rsidRDefault="00DE1320" w:rsidP="00ED6838">
      <w:pPr>
        <w:pStyle w:val="Proposal"/>
      </w:pPr>
      <w:bookmarkStart w:id="51" w:name="_Toc79180131"/>
      <w:r w:rsidRPr="009F2042">
        <w:t>Introduce indication of access and backhaul slots to allow for DL power control differentiation towards child IAB nodes without affecting operation of legacy UEs.</w:t>
      </w:r>
      <w:bookmarkEnd w:id="51"/>
    </w:p>
    <w:p w14:paraId="3AA9FFFE" w14:textId="14F748F0" w:rsidR="00443500" w:rsidRPr="009F2042" w:rsidRDefault="003A73FC" w:rsidP="00ED6838">
      <w:pPr>
        <w:jc w:val="both"/>
      </w:pPr>
      <w:r w:rsidRPr="009F2042">
        <w:t>When addressing DL power control</w:t>
      </w:r>
      <w:r w:rsidR="002C60AA" w:rsidRPr="009F2042">
        <w:t xml:space="preserve"> from the </w:t>
      </w:r>
      <w:r w:rsidR="001D6D7A" w:rsidRPr="009F2042">
        <w:t>point of view</w:t>
      </w:r>
      <w:r w:rsidR="002C60AA" w:rsidRPr="009F2042">
        <w:t xml:space="preserve"> of </w:t>
      </w:r>
      <w:r w:rsidR="00E115D1" w:rsidRPr="009F2042">
        <w:t>a</w:t>
      </w:r>
      <w:r w:rsidR="002C60AA" w:rsidRPr="009F2042">
        <w:t xml:space="preserve"> receiving IAB-node</w:t>
      </w:r>
      <w:r w:rsidRPr="009F2042">
        <w:t xml:space="preserve">, one </w:t>
      </w:r>
      <w:r w:rsidR="00443500" w:rsidRPr="009F2042">
        <w:t xml:space="preserve">consideration is that DL power control is only beneficial for simultaneous </w:t>
      </w:r>
      <w:r w:rsidR="002C60AA" w:rsidRPr="009F2042">
        <w:t>reception</w:t>
      </w:r>
      <w:r w:rsidR="00776783" w:rsidRPr="009F2042">
        <w:t xml:space="preserve"> and </w:t>
      </w:r>
      <w:r w:rsidR="002F34EC" w:rsidRPr="009F2042">
        <w:t xml:space="preserve">unbeneficial for legacy modes. </w:t>
      </w:r>
      <w:r w:rsidRPr="009F2042">
        <w:t xml:space="preserve">A further consideration is that </w:t>
      </w:r>
      <w:r w:rsidR="006C17D2" w:rsidRPr="009F2042">
        <w:t xml:space="preserve">the need for </w:t>
      </w:r>
      <w:r w:rsidRPr="009F2042">
        <w:t xml:space="preserve">DL power control only </w:t>
      </w:r>
      <w:r w:rsidR="00CF71AF" w:rsidRPr="009F2042">
        <w:t xml:space="preserve">concerns </w:t>
      </w:r>
      <w:r w:rsidR="006C17D2" w:rsidRPr="009F2042">
        <w:t xml:space="preserve">IAB </w:t>
      </w:r>
      <w:r w:rsidRPr="009F2042">
        <w:t xml:space="preserve">nodes </w:t>
      </w:r>
      <w:r w:rsidR="001F7AD8" w:rsidRPr="009F2042">
        <w:t>where the M</w:t>
      </w:r>
      <w:r w:rsidR="00CF71AF" w:rsidRPr="009F2042">
        <w:t>T</w:t>
      </w:r>
      <w:r w:rsidR="001F7AD8" w:rsidRPr="009F2042">
        <w:t xml:space="preserve"> and DU reception are linked. </w:t>
      </w:r>
      <w:r w:rsidR="00FD1152" w:rsidRPr="009F2042">
        <w:t>Hence, use of DL power control</w:t>
      </w:r>
      <w:r w:rsidR="006C17D2" w:rsidRPr="009F2042">
        <w:t xml:space="preserve">, from the </w:t>
      </w:r>
      <w:r w:rsidR="00992DAE" w:rsidRPr="009F2042">
        <w:t>point of view</w:t>
      </w:r>
      <w:r w:rsidR="006C17D2" w:rsidRPr="009F2042">
        <w:t xml:space="preserve"> of a receiving IAB</w:t>
      </w:r>
      <w:r w:rsidR="00992DAE" w:rsidRPr="009F2042">
        <w:t>-</w:t>
      </w:r>
      <w:r w:rsidR="006C17D2" w:rsidRPr="009F2042">
        <w:t>node,</w:t>
      </w:r>
      <w:r w:rsidR="00FD1152" w:rsidRPr="009F2042">
        <w:t xml:space="preserve"> is limited to </w:t>
      </w:r>
      <w:r w:rsidR="00E115D1" w:rsidRPr="009F2042">
        <w:t>IAB-</w:t>
      </w:r>
      <w:r w:rsidR="00FD1152" w:rsidRPr="009F2042">
        <w:t xml:space="preserve">nodes that </w:t>
      </w:r>
      <w:r w:rsidR="00114EEB" w:rsidRPr="009F2042">
        <w:t xml:space="preserve">operate in </w:t>
      </w:r>
      <w:r w:rsidR="00FD1152" w:rsidRPr="009F2042">
        <w:t>Case-7 timing.</w:t>
      </w:r>
    </w:p>
    <w:p w14:paraId="0DFAF893" w14:textId="1B77E732" w:rsidR="002E6375" w:rsidRPr="009F2042" w:rsidRDefault="003C07F1" w:rsidP="00ED6838">
      <w:pPr>
        <w:pStyle w:val="Proposal"/>
      </w:pPr>
      <w:bookmarkStart w:id="52" w:name="_Toc74923203"/>
      <w:bookmarkStart w:id="53" w:name="_Toc74923248"/>
      <w:bookmarkStart w:id="54" w:name="_Toc74923275"/>
      <w:bookmarkStart w:id="55" w:name="_Toc74923301"/>
      <w:bookmarkStart w:id="56" w:name="_Toc74923345"/>
      <w:bookmarkStart w:id="57" w:name="_Toc74923534"/>
      <w:bookmarkStart w:id="58" w:name="_Toc74923576"/>
      <w:bookmarkStart w:id="59" w:name="_Toc74923638"/>
      <w:bookmarkStart w:id="60" w:name="_Toc74923757"/>
      <w:bookmarkStart w:id="61" w:name="_Toc74923776"/>
      <w:bookmarkStart w:id="62" w:name="_Toc74923877"/>
      <w:bookmarkStart w:id="63" w:name="_Toc74923904"/>
      <w:bookmarkStart w:id="64" w:name="_Toc74923937"/>
      <w:bookmarkStart w:id="65" w:name="_Toc74923975"/>
      <w:bookmarkStart w:id="66" w:name="_Toc74924040"/>
      <w:bookmarkStart w:id="67" w:name="_Toc74923208"/>
      <w:bookmarkStart w:id="68" w:name="_Toc74923253"/>
      <w:bookmarkStart w:id="69" w:name="_Toc74923280"/>
      <w:bookmarkStart w:id="70" w:name="_Toc74923306"/>
      <w:bookmarkStart w:id="71" w:name="_Toc74923350"/>
      <w:bookmarkStart w:id="72" w:name="_Toc74923539"/>
      <w:bookmarkStart w:id="73" w:name="_Toc74923581"/>
      <w:bookmarkStart w:id="74" w:name="_Toc74923643"/>
      <w:bookmarkStart w:id="75" w:name="_Toc74923762"/>
      <w:bookmarkStart w:id="76" w:name="_Toc74923781"/>
      <w:bookmarkStart w:id="77" w:name="_Toc74923882"/>
      <w:bookmarkStart w:id="78" w:name="_Toc74923909"/>
      <w:bookmarkStart w:id="79" w:name="_Toc74923942"/>
      <w:bookmarkStart w:id="80" w:name="_Toc74923980"/>
      <w:bookmarkStart w:id="81" w:name="_Toc74924045"/>
      <w:bookmarkStart w:id="82" w:name="_Toc79165757"/>
      <w:bookmarkStart w:id="83" w:name="_Toc79180132"/>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sidRPr="009F2042">
        <w:t>DL power control is restricted to slots in which the receiving node is operating in Case-7 timing.</w:t>
      </w:r>
      <w:bookmarkEnd w:id="83"/>
    </w:p>
    <w:p w14:paraId="65D3DF27" w14:textId="0C24D215" w:rsidR="0063061F" w:rsidRPr="009F2042" w:rsidRDefault="00637227" w:rsidP="00ED6838">
      <w:pPr>
        <w:jc w:val="both"/>
      </w:pPr>
      <w:r w:rsidRPr="009F2042">
        <w:t>In RAN1 #104-e</w:t>
      </w:r>
      <w:r w:rsidR="00986DBA" w:rsidRPr="009F2042">
        <w:t>,</w:t>
      </w:r>
      <w:r w:rsidRPr="009F2042">
        <w:t xml:space="preserve"> it was agreed that indication of information for DL power control is supported from an IAB node to its parent IAB-DU with many details left FFS. </w:t>
      </w:r>
    </w:p>
    <w:p w14:paraId="2B97E821" w14:textId="6C72DB6E" w:rsidR="00EE2103" w:rsidRPr="009F2042" w:rsidRDefault="0063061F" w:rsidP="00ED6838">
      <w:pPr>
        <w:jc w:val="both"/>
      </w:pPr>
      <w:r w:rsidRPr="009F2042">
        <w:t xml:space="preserve">The main point left for decision is what kind of information to provide in the DL power control request. </w:t>
      </w:r>
      <w:proofErr w:type="gramStart"/>
      <w:r w:rsidRPr="009F2042">
        <w:t>Similar to</w:t>
      </w:r>
      <w:proofErr w:type="gramEnd"/>
      <w:r w:rsidRPr="009F2042">
        <w:t xml:space="preserve"> UL power control, the IAB-node does not know the absolute transmit power levels of the parent IAB-DU. Hence, a </w:t>
      </w:r>
      <w:r w:rsidRPr="009F2042">
        <w:rPr>
          <w:i/>
          <w:iCs/>
        </w:rPr>
        <w:t>power adjustment</w:t>
      </w:r>
      <w:r w:rsidRPr="009F2042">
        <w:t xml:space="preserve"> is sensible</w:t>
      </w:r>
      <w:r w:rsidR="00923DA1" w:rsidRPr="009F2042">
        <w:t xml:space="preserve"> since it allows the parent </w:t>
      </w:r>
      <w:r w:rsidR="00EE2103" w:rsidRPr="009F2042">
        <w:t>IAB node and the</w:t>
      </w:r>
      <w:r w:rsidR="00923DA1" w:rsidRPr="009F2042">
        <w:t xml:space="preserve"> IAB</w:t>
      </w:r>
      <w:r w:rsidR="00382B55" w:rsidRPr="009F2042">
        <w:t>-</w:t>
      </w:r>
      <w:r w:rsidR="00923DA1" w:rsidRPr="009F2042">
        <w:t xml:space="preserve">node to </w:t>
      </w:r>
      <w:r w:rsidR="00EE2103" w:rsidRPr="009F2042">
        <w:t>set a preferable power level without any further information</w:t>
      </w:r>
      <w:r w:rsidRPr="009F2042">
        <w:t>.</w:t>
      </w:r>
      <w:r w:rsidR="00470107" w:rsidRPr="009F2042">
        <w:t xml:space="preserve"> As a response, the parent IAB-DU </w:t>
      </w:r>
      <w:r w:rsidR="00382B55" w:rsidRPr="009F2042">
        <w:t>should</w:t>
      </w:r>
      <w:r w:rsidR="00470107" w:rsidRPr="009F2042">
        <w:t xml:space="preserve"> provide an ACK/NACK</w:t>
      </w:r>
      <w:r w:rsidR="00382B55" w:rsidRPr="009F2042">
        <w:t xml:space="preserve"> to allow the IAB-node to adjust is operations, e.g., scheduling</w:t>
      </w:r>
      <w:r w:rsidR="00470107" w:rsidRPr="009F2042">
        <w:t>.</w:t>
      </w:r>
      <w:r w:rsidR="00DF490B" w:rsidRPr="009F2042">
        <w:t xml:space="preserve"> Furthermore, since power control is related to local conditions, there is little reason to involve the CU in the DL power control request. </w:t>
      </w:r>
    </w:p>
    <w:p w14:paraId="2F77D1BE" w14:textId="276DD14A" w:rsidR="00470107" w:rsidRPr="009F2042" w:rsidRDefault="00A6359C" w:rsidP="00ED6838">
      <w:pPr>
        <w:jc w:val="both"/>
      </w:pPr>
      <w:r w:rsidRPr="009F2042">
        <w:t>As the agreement presently is formulated, there is a risk that the IAB node gains the benefits at the expense of the parent IAB-node</w:t>
      </w:r>
      <w:r w:rsidR="00962190" w:rsidRPr="009F2042">
        <w:t>. That is,</w:t>
      </w:r>
      <w:r w:rsidRPr="009F2042">
        <w:t xml:space="preserve"> the IAB node may request to reduce the parent IAB-DU’s Tx power, but there is no corresponding functionality for the parent IAB-DU to negate</w:t>
      </w:r>
      <w:r w:rsidR="00962190" w:rsidRPr="009F2042">
        <w:t xml:space="preserve"> or reset</w:t>
      </w:r>
      <w:r w:rsidRPr="009F2042">
        <w:t xml:space="preserve"> a granted DL power control request.</w:t>
      </w:r>
      <w:r w:rsidR="00962190" w:rsidRPr="009F2042">
        <w:t xml:space="preserve"> Since there is likely little incentive in an IAB node operating in simultaneous operation to request a higher DL Tx power level, the parent IAB-DU may suffer by needing to operate in an unpreferred</w:t>
      </w:r>
      <w:r w:rsidR="009B6FFC" w:rsidRPr="009F2042">
        <w:t>,</w:t>
      </w:r>
      <w:r w:rsidR="00962190" w:rsidRPr="009F2042">
        <w:t xml:space="preserve"> too low IAB-DU Tx power level.</w:t>
      </w:r>
      <w:r w:rsidR="00986DBA" w:rsidRPr="009F2042">
        <w:t xml:space="preserve"> There are at least two ways to mitigate this problem: either the parent IAB-DU can transmit a power control message itself, e.g., a power control reset, or the DL power control that was granted by the parent IAB-DU </w:t>
      </w:r>
      <w:r w:rsidR="00E94050" w:rsidRPr="009F2042">
        <w:t>has a limited duration</w:t>
      </w:r>
      <w:r w:rsidR="00986DBA" w:rsidRPr="009F2042">
        <w:t xml:space="preserve">, </w:t>
      </w:r>
      <w:r w:rsidR="00E94050" w:rsidRPr="009F2042">
        <w:t>requiring the IAB node to periodically renew its power control request</w:t>
      </w:r>
      <w:r w:rsidR="00986DBA" w:rsidRPr="009F2042">
        <w:t>.</w:t>
      </w:r>
      <w:r w:rsidR="00C91EC1" w:rsidRPr="009F2042">
        <w:t xml:space="preserve"> For simplicity, we prefer the </w:t>
      </w:r>
      <w:r w:rsidR="00E0716E" w:rsidRPr="009F2042">
        <w:t>latter</w:t>
      </w:r>
      <w:r w:rsidR="00C91EC1" w:rsidRPr="009F2042">
        <w:t xml:space="preserve"> alternative.</w:t>
      </w:r>
    </w:p>
    <w:p w14:paraId="5FA933EB" w14:textId="4A60E0F9" w:rsidR="00644B9C" w:rsidRPr="009F2042" w:rsidRDefault="00627B1B" w:rsidP="00ED6838">
      <w:pPr>
        <w:pStyle w:val="Proposal"/>
      </w:pPr>
      <w:bookmarkStart w:id="84" w:name="_Toc79180133"/>
      <w:r w:rsidRPr="009F2042">
        <w:t>For DL power control, t</w:t>
      </w:r>
      <w:r w:rsidR="00EE2103" w:rsidRPr="009F2042">
        <w:t xml:space="preserve">he IAB node may request a </w:t>
      </w:r>
      <w:r w:rsidR="00EE2103" w:rsidRPr="009F2042">
        <w:rPr>
          <w:i/>
          <w:iCs/>
        </w:rPr>
        <w:t>preferred power adjustment</w:t>
      </w:r>
      <w:r w:rsidR="00EE2103" w:rsidRPr="009F2042">
        <w:t xml:space="preserve"> </w:t>
      </w:r>
      <w:r w:rsidRPr="009F2042">
        <w:t>from</w:t>
      </w:r>
      <w:r w:rsidR="00EE2103" w:rsidRPr="009F2042">
        <w:t xml:space="preserve"> its parent IAB-DU.</w:t>
      </w:r>
      <w:r w:rsidR="00470107" w:rsidRPr="009F2042">
        <w:t xml:space="preserve"> Value</w:t>
      </w:r>
      <w:r w:rsidRPr="009F2042">
        <w:t>(</w:t>
      </w:r>
      <w:r w:rsidR="00470107" w:rsidRPr="009F2042">
        <w:t>s</w:t>
      </w:r>
      <w:r w:rsidRPr="009F2042">
        <w:t>)</w:t>
      </w:r>
      <w:r w:rsidR="00470107" w:rsidRPr="009F2042">
        <w:t xml:space="preserve"> for the power adjustment are FFS.</w:t>
      </w:r>
      <w:bookmarkEnd w:id="84"/>
    </w:p>
    <w:p w14:paraId="01A3946A" w14:textId="1EBE7EC2" w:rsidR="00CE7A5B" w:rsidRPr="009F2042" w:rsidRDefault="00CE7A5B" w:rsidP="00ED6838">
      <w:pPr>
        <w:pStyle w:val="Proposal"/>
      </w:pPr>
      <w:bookmarkStart w:id="85" w:name="_Toc74923912"/>
      <w:bookmarkStart w:id="86" w:name="_Toc79180134"/>
      <w:r w:rsidRPr="009F2042">
        <w:t>The parent IAB node signals an ACK or NACK in response to the received DL power allocation request.</w:t>
      </w:r>
      <w:bookmarkStart w:id="87" w:name="_Toc74923913"/>
      <w:bookmarkEnd w:id="85"/>
      <w:bookmarkEnd w:id="86"/>
      <w:bookmarkEnd w:id="87"/>
    </w:p>
    <w:p w14:paraId="1F4D87EE" w14:textId="1FDE99CA" w:rsidR="00D93222" w:rsidRPr="009F2042" w:rsidRDefault="00E0716E" w:rsidP="00ED6838">
      <w:pPr>
        <w:pStyle w:val="Proposal"/>
      </w:pPr>
      <w:bookmarkStart w:id="88" w:name="_Toc79180135"/>
      <w:r w:rsidRPr="009F2042">
        <w:t xml:space="preserve">A </w:t>
      </w:r>
      <w:r w:rsidR="003912CD" w:rsidRPr="009F2042">
        <w:t xml:space="preserve">DL power control request </w:t>
      </w:r>
      <w:r w:rsidR="00E94050" w:rsidRPr="009F2042">
        <w:t>is limited in duration and must be renewed periodically.</w:t>
      </w:r>
      <w:r w:rsidR="000750D5" w:rsidRPr="009F2042">
        <w:t xml:space="preserve"> The duration of a DL power control grant is FFS.</w:t>
      </w:r>
      <w:bookmarkEnd w:id="88"/>
    </w:p>
    <w:p w14:paraId="652DDAB1" w14:textId="77777777" w:rsidR="00C01F33" w:rsidRPr="009F2042" w:rsidRDefault="00C01F33" w:rsidP="004C330D">
      <w:pPr>
        <w:pStyle w:val="Heading1"/>
        <w:jc w:val="both"/>
        <w:rPr>
          <w:lang w:val="en-US"/>
        </w:rPr>
      </w:pPr>
      <w:r w:rsidRPr="009F2042">
        <w:rPr>
          <w:lang w:val="en-US"/>
        </w:rPr>
        <w:lastRenderedPageBreak/>
        <w:t>Conclusion</w:t>
      </w:r>
    </w:p>
    <w:p w14:paraId="2B2BB6BC" w14:textId="77777777" w:rsidR="008E065E" w:rsidRPr="009F2042" w:rsidRDefault="008E065E" w:rsidP="00BC7F0D">
      <w:pPr>
        <w:pStyle w:val="BodyText"/>
        <w:rPr>
          <w:b/>
        </w:rPr>
      </w:pPr>
      <w:r w:rsidRPr="009F2042">
        <w:t xml:space="preserve">In </w:t>
      </w:r>
      <w:r w:rsidR="007729A2" w:rsidRPr="009F2042">
        <w:t xml:space="preserve">the previous </w:t>
      </w:r>
      <w:r w:rsidRPr="009F2042">
        <w:t>section</w:t>
      </w:r>
      <w:r w:rsidR="007729A2" w:rsidRPr="009F2042">
        <w:t>s</w:t>
      </w:r>
      <w:r w:rsidRPr="009F2042">
        <w:t xml:space="preserve"> we made the following observations:</w:t>
      </w:r>
      <w:r w:rsidR="00C93814" w:rsidRPr="009F2042">
        <w:rPr>
          <w:b/>
        </w:rPr>
        <w:t xml:space="preserve"> </w:t>
      </w:r>
    </w:p>
    <w:p w14:paraId="7DB24260" w14:textId="1B8631CB" w:rsidR="00BC7F0D" w:rsidRDefault="006F6582" w:rsidP="00BC7F0D">
      <w:pPr>
        <w:pStyle w:val="TableofFigures"/>
        <w:tabs>
          <w:tab w:val="right" w:leader="dot" w:pos="9629"/>
        </w:tabs>
        <w:jc w:val="both"/>
        <w:rPr>
          <w:rFonts w:asciiTheme="minorHAnsi" w:eastAsiaTheme="minorEastAsia" w:hAnsiTheme="minorHAnsi"/>
          <w:b w:val="0"/>
          <w:noProof/>
          <w:sz w:val="22"/>
          <w:lang w:val="sv-SE" w:eastAsia="sv-SE"/>
        </w:rPr>
      </w:pPr>
      <w:r w:rsidRPr="009F2042">
        <w:rPr>
          <w:b w:val="0"/>
        </w:rPr>
        <w:fldChar w:fldCharType="begin"/>
      </w:r>
      <w:r w:rsidRPr="009F2042">
        <w:rPr>
          <w:b w:val="0"/>
        </w:rPr>
        <w:instrText xml:space="preserve"> TOC \f O \n \h \z \t "Observation" \c </w:instrText>
      </w:r>
      <w:r w:rsidRPr="009F2042">
        <w:rPr>
          <w:b w:val="0"/>
        </w:rPr>
        <w:fldChar w:fldCharType="separate"/>
      </w:r>
      <w:hyperlink w:anchor="_Toc79180093" w:history="1">
        <w:r w:rsidR="00BC7F0D" w:rsidRPr="002C0285">
          <w:rPr>
            <w:rStyle w:val="Hyperlink"/>
            <w:noProof/>
          </w:rPr>
          <w:t>Observation 1</w:t>
        </w:r>
        <w:r w:rsidR="00BC7F0D">
          <w:rPr>
            <w:rFonts w:asciiTheme="minorHAnsi" w:eastAsiaTheme="minorEastAsia" w:hAnsiTheme="minorHAnsi"/>
            <w:b w:val="0"/>
            <w:noProof/>
            <w:sz w:val="22"/>
            <w:lang w:val="sv-SE" w:eastAsia="sv-SE"/>
          </w:rPr>
          <w:tab/>
        </w:r>
        <w:r w:rsidR="00BC7F0D" w:rsidRPr="002C0285">
          <w:rPr>
            <w:rStyle w:val="Hyperlink"/>
            <w:noProof/>
          </w:rPr>
          <w:t>Case-6 and Case-7 timing were defined to enable identical MT and DU transmission and reception timing, respectively.</w:t>
        </w:r>
      </w:hyperlink>
    </w:p>
    <w:p w14:paraId="3AA9653F" w14:textId="2105144D" w:rsidR="00BC7F0D" w:rsidRDefault="00BC7F0D" w:rsidP="00BC7F0D">
      <w:pPr>
        <w:pStyle w:val="TableofFigures"/>
        <w:tabs>
          <w:tab w:val="right" w:leader="dot" w:pos="9629"/>
        </w:tabs>
        <w:jc w:val="both"/>
        <w:rPr>
          <w:rFonts w:asciiTheme="minorHAnsi" w:eastAsiaTheme="minorEastAsia" w:hAnsiTheme="minorHAnsi"/>
          <w:b w:val="0"/>
          <w:noProof/>
          <w:sz w:val="22"/>
          <w:lang w:val="sv-SE" w:eastAsia="sv-SE"/>
        </w:rPr>
      </w:pPr>
      <w:hyperlink w:anchor="_Toc79180094" w:history="1">
        <w:r w:rsidRPr="002C0285">
          <w:rPr>
            <w:rStyle w:val="Hyperlink"/>
            <w:noProof/>
          </w:rPr>
          <w:t>Observation 2</w:t>
        </w:r>
        <w:r>
          <w:rPr>
            <w:rFonts w:asciiTheme="minorHAnsi" w:eastAsiaTheme="minorEastAsia" w:hAnsiTheme="minorHAnsi"/>
            <w:b w:val="0"/>
            <w:noProof/>
            <w:sz w:val="22"/>
            <w:lang w:val="sv-SE" w:eastAsia="sv-SE"/>
          </w:rPr>
          <w:tab/>
        </w:r>
        <w:r w:rsidRPr="002C0285">
          <w:rPr>
            <w:rStyle w:val="Hyperlink"/>
            <w:noProof/>
          </w:rPr>
          <w:t>Base station synchronization performance does not depend on and is not set based on the synchronization performance of other BSs in RAN.</w:t>
        </w:r>
      </w:hyperlink>
    </w:p>
    <w:p w14:paraId="0F9DEBD8" w14:textId="24D4C94A" w:rsidR="00BC7F0D" w:rsidRDefault="00BC7F0D" w:rsidP="00BC7F0D">
      <w:pPr>
        <w:pStyle w:val="TableofFigures"/>
        <w:tabs>
          <w:tab w:val="right" w:leader="dot" w:pos="9629"/>
        </w:tabs>
        <w:jc w:val="both"/>
        <w:rPr>
          <w:rFonts w:asciiTheme="minorHAnsi" w:eastAsiaTheme="minorEastAsia" w:hAnsiTheme="minorHAnsi"/>
          <w:b w:val="0"/>
          <w:noProof/>
          <w:sz w:val="22"/>
          <w:lang w:val="sv-SE" w:eastAsia="sv-SE"/>
        </w:rPr>
      </w:pPr>
      <w:hyperlink w:anchor="_Toc79180095" w:history="1">
        <w:r w:rsidRPr="002C0285">
          <w:rPr>
            <w:rStyle w:val="Hyperlink"/>
            <w:noProof/>
          </w:rPr>
          <w:t>Observation 3</w:t>
        </w:r>
        <w:r>
          <w:rPr>
            <w:rFonts w:asciiTheme="minorHAnsi" w:eastAsiaTheme="minorEastAsia" w:hAnsiTheme="minorHAnsi"/>
            <w:b w:val="0"/>
            <w:noProof/>
            <w:sz w:val="22"/>
            <w:lang w:val="sv-SE" w:eastAsia="sv-SE"/>
          </w:rPr>
          <w:tab/>
        </w:r>
        <w:r w:rsidRPr="002C0285">
          <w:rPr>
            <w:rStyle w:val="Hyperlink"/>
            <w:noProof/>
          </w:rPr>
          <w:t>It is not guaranteed that an IAB-parent knows the actual TA of descendent IAB-nodes.</w:t>
        </w:r>
      </w:hyperlink>
    </w:p>
    <w:p w14:paraId="386D7BA9" w14:textId="75516CAB" w:rsidR="00BC7F0D" w:rsidRDefault="00BC7F0D" w:rsidP="00BC7F0D">
      <w:pPr>
        <w:pStyle w:val="TableofFigures"/>
        <w:tabs>
          <w:tab w:val="right" w:leader="dot" w:pos="9629"/>
        </w:tabs>
        <w:jc w:val="both"/>
        <w:rPr>
          <w:rFonts w:asciiTheme="minorHAnsi" w:eastAsiaTheme="minorEastAsia" w:hAnsiTheme="minorHAnsi"/>
          <w:b w:val="0"/>
          <w:noProof/>
          <w:sz w:val="22"/>
          <w:lang w:val="sv-SE" w:eastAsia="sv-SE"/>
        </w:rPr>
      </w:pPr>
      <w:hyperlink w:anchor="_Toc79180096" w:history="1">
        <w:r w:rsidRPr="002C0285">
          <w:rPr>
            <w:rStyle w:val="Hyperlink"/>
            <w:noProof/>
          </w:rPr>
          <w:t>Observation 4</w:t>
        </w:r>
        <w:r>
          <w:rPr>
            <w:rFonts w:asciiTheme="minorHAnsi" w:eastAsiaTheme="minorEastAsia" w:hAnsiTheme="minorHAnsi"/>
            <w:b w:val="0"/>
            <w:noProof/>
            <w:sz w:val="22"/>
            <w:lang w:val="sv-SE" w:eastAsia="sv-SE"/>
          </w:rPr>
          <w:tab/>
        </w:r>
        <w:r w:rsidRPr="002C0285">
          <w:rPr>
            <w:rStyle w:val="Hyperlink"/>
            <w:noProof/>
          </w:rPr>
          <w:t>There is no signaling specified of an absolute TA, instead TA is adjusted by a BS in a differential manner to meet its UL reception timing demands.</w:t>
        </w:r>
      </w:hyperlink>
    </w:p>
    <w:p w14:paraId="5B2DD317" w14:textId="006E9AA2" w:rsidR="00BC7F0D" w:rsidRDefault="00BC7F0D" w:rsidP="00BC7F0D">
      <w:pPr>
        <w:pStyle w:val="TableofFigures"/>
        <w:tabs>
          <w:tab w:val="right" w:leader="dot" w:pos="9629"/>
        </w:tabs>
        <w:jc w:val="both"/>
        <w:rPr>
          <w:rFonts w:asciiTheme="minorHAnsi" w:eastAsiaTheme="minorEastAsia" w:hAnsiTheme="minorHAnsi"/>
          <w:b w:val="0"/>
          <w:noProof/>
          <w:sz w:val="22"/>
          <w:lang w:val="sv-SE" w:eastAsia="sv-SE"/>
        </w:rPr>
      </w:pPr>
      <w:hyperlink w:anchor="_Toc79180097" w:history="1">
        <w:r w:rsidRPr="002C0285">
          <w:rPr>
            <w:rStyle w:val="Hyperlink"/>
            <w:noProof/>
          </w:rPr>
          <w:t>Observation 5</w:t>
        </w:r>
        <w:r>
          <w:rPr>
            <w:rFonts w:asciiTheme="minorHAnsi" w:eastAsiaTheme="minorEastAsia" w:hAnsiTheme="minorHAnsi"/>
            <w:b w:val="0"/>
            <w:noProof/>
            <w:sz w:val="22"/>
            <w:lang w:val="sv-SE" w:eastAsia="sv-SE"/>
          </w:rPr>
          <w:tab/>
        </w:r>
        <w:r w:rsidRPr="002C0285">
          <w:rPr>
            <w:rStyle w:val="Hyperlink"/>
            <w:noProof/>
          </w:rPr>
          <w:t>A parent IAB-node does not necessarily know the propagation delay to descendent IAB-nodes.</w:t>
        </w:r>
      </w:hyperlink>
    </w:p>
    <w:p w14:paraId="08080B40" w14:textId="57025D26" w:rsidR="00BC7F0D" w:rsidRDefault="00BC7F0D" w:rsidP="00BC7F0D">
      <w:pPr>
        <w:pStyle w:val="TableofFigures"/>
        <w:tabs>
          <w:tab w:val="right" w:leader="dot" w:pos="9629"/>
        </w:tabs>
        <w:jc w:val="both"/>
        <w:rPr>
          <w:rFonts w:asciiTheme="minorHAnsi" w:eastAsiaTheme="minorEastAsia" w:hAnsiTheme="minorHAnsi"/>
          <w:b w:val="0"/>
          <w:noProof/>
          <w:sz w:val="22"/>
          <w:lang w:val="sv-SE" w:eastAsia="sv-SE"/>
        </w:rPr>
      </w:pPr>
      <w:hyperlink w:anchor="_Toc79180098" w:history="1">
        <w:r w:rsidRPr="002C0285">
          <w:rPr>
            <w:rStyle w:val="Hyperlink"/>
            <w:noProof/>
          </w:rPr>
          <w:t>Observation 6</w:t>
        </w:r>
        <w:r>
          <w:rPr>
            <w:rFonts w:asciiTheme="minorHAnsi" w:eastAsiaTheme="minorEastAsia" w:hAnsiTheme="minorHAnsi"/>
            <w:b w:val="0"/>
            <w:noProof/>
            <w:sz w:val="22"/>
            <w:lang w:val="sv-SE" w:eastAsia="sv-SE"/>
          </w:rPr>
          <w:tab/>
        </w:r>
        <w:r w:rsidRPr="002C0285">
          <w:rPr>
            <w:rStyle w:val="Hyperlink"/>
            <w:noProof/>
          </w:rPr>
          <w:t>Presently, T_delta,index is unspecified for values beyond 1199.</w:t>
        </w:r>
      </w:hyperlink>
    </w:p>
    <w:p w14:paraId="37A44D53" w14:textId="24263E38" w:rsidR="00BC7F0D" w:rsidRDefault="00BC7F0D" w:rsidP="00BC7F0D">
      <w:pPr>
        <w:pStyle w:val="TableofFigures"/>
        <w:tabs>
          <w:tab w:val="right" w:leader="dot" w:pos="9629"/>
        </w:tabs>
        <w:jc w:val="both"/>
        <w:rPr>
          <w:rFonts w:asciiTheme="minorHAnsi" w:eastAsiaTheme="minorEastAsia" w:hAnsiTheme="minorHAnsi"/>
          <w:b w:val="0"/>
          <w:noProof/>
          <w:sz w:val="22"/>
          <w:lang w:val="sv-SE" w:eastAsia="sv-SE"/>
        </w:rPr>
      </w:pPr>
      <w:hyperlink w:anchor="_Toc79180099" w:history="1">
        <w:r w:rsidRPr="002C0285">
          <w:rPr>
            <w:rStyle w:val="Hyperlink"/>
            <w:noProof/>
          </w:rPr>
          <w:t>Observation 7</w:t>
        </w:r>
        <w:r>
          <w:rPr>
            <w:rFonts w:asciiTheme="minorHAnsi" w:eastAsiaTheme="minorEastAsia" w:hAnsiTheme="minorHAnsi"/>
            <w:b w:val="0"/>
            <w:noProof/>
            <w:sz w:val="22"/>
            <w:lang w:val="sv-SE" w:eastAsia="sv-SE"/>
          </w:rPr>
          <w:tab/>
        </w:r>
        <w:r w:rsidRPr="002C0285">
          <w:rPr>
            <w:rStyle w:val="Hyperlink"/>
            <w:noProof/>
          </w:rPr>
          <w:t>The currently specified range for T_delta,index does not allow immediately indicating a UL Rx timing occurring later than a DL Tx timing.</w:t>
        </w:r>
      </w:hyperlink>
    </w:p>
    <w:p w14:paraId="35373009" w14:textId="7778E001" w:rsidR="00BC7F0D" w:rsidRDefault="00BC7F0D" w:rsidP="00BC7F0D">
      <w:pPr>
        <w:pStyle w:val="TableofFigures"/>
        <w:tabs>
          <w:tab w:val="right" w:leader="dot" w:pos="9629"/>
        </w:tabs>
        <w:jc w:val="both"/>
        <w:rPr>
          <w:rFonts w:asciiTheme="minorHAnsi" w:eastAsiaTheme="minorEastAsia" w:hAnsiTheme="minorHAnsi"/>
          <w:b w:val="0"/>
          <w:noProof/>
          <w:sz w:val="22"/>
          <w:lang w:val="sv-SE" w:eastAsia="sv-SE"/>
        </w:rPr>
      </w:pPr>
      <w:hyperlink w:anchor="_Toc79180100" w:history="1">
        <w:r w:rsidRPr="002C0285">
          <w:rPr>
            <w:rStyle w:val="Hyperlink"/>
            <w:noProof/>
          </w:rPr>
          <w:t>Observation 8</w:t>
        </w:r>
        <w:r>
          <w:rPr>
            <w:rFonts w:asciiTheme="minorHAnsi" w:eastAsiaTheme="minorEastAsia" w:hAnsiTheme="minorHAnsi"/>
            <w:b w:val="0"/>
            <w:noProof/>
            <w:sz w:val="22"/>
            <w:lang w:val="sv-SE" w:eastAsia="sv-SE"/>
          </w:rPr>
          <w:tab/>
        </w:r>
        <w:r w:rsidRPr="002C0285">
          <w:rPr>
            <w:rStyle w:val="Hyperlink"/>
            <w:noProof/>
          </w:rPr>
          <w:t>Based on current specification for the range of T_delta,index, OTA sync cannot immediately be used, if an IAB-node is operating in Case-6 or Case-7 timing configuration.</w:t>
        </w:r>
      </w:hyperlink>
    </w:p>
    <w:p w14:paraId="213A9CAB" w14:textId="0BE6D0AC" w:rsidR="00BC7F0D" w:rsidRDefault="00BC7F0D" w:rsidP="00BC7F0D">
      <w:pPr>
        <w:pStyle w:val="TableofFigures"/>
        <w:tabs>
          <w:tab w:val="right" w:leader="dot" w:pos="9629"/>
        </w:tabs>
        <w:jc w:val="both"/>
        <w:rPr>
          <w:rFonts w:asciiTheme="minorHAnsi" w:eastAsiaTheme="minorEastAsia" w:hAnsiTheme="minorHAnsi"/>
          <w:b w:val="0"/>
          <w:noProof/>
          <w:sz w:val="22"/>
          <w:lang w:val="sv-SE" w:eastAsia="sv-SE"/>
        </w:rPr>
      </w:pPr>
      <w:hyperlink w:anchor="_Toc79180101" w:history="1">
        <w:r w:rsidRPr="002C0285">
          <w:rPr>
            <w:rStyle w:val="Hyperlink"/>
            <w:noProof/>
          </w:rPr>
          <w:t>Observation 9</w:t>
        </w:r>
        <w:r>
          <w:rPr>
            <w:rFonts w:asciiTheme="minorHAnsi" w:eastAsiaTheme="minorEastAsia" w:hAnsiTheme="minorHAnsi"/>
            <w:b w:val="0"/>
            <w:noProof/>
            <w:sz w:val="22"/>
            <w:lang w:val="sv-SE" w:eastAsia="sv-SE"/>
          </w:rPr>
          <w:tab/>
        </w:r>
        <w:r w:rsidRPr="002C0285">
          <w:rPr>
            <w:rStyle w:val="Hyperlink"/>
            <w:noProof/>
          </w:rPr>
          <w:t>The principles used in Rel-16 OTA sync for IAB-nodes are also applicable to any UL reception timing of a parent IAB-node, including the ones occurring in Case-6 and Case-7.</w:t>
        </w:r>
      </w:hyperlink>
    </w:p>
    <w:p w14:paraId="609905F7" w14:textId="1BE58B52" w:rsidR="00BC7F0D" w:rsidRDefault="00BC7F0D" w:rsidP="00BC7F0D">
      <w:pPr>
        <w:pStyle w:val="TableofFigures"/>
        <w:tabs>
          <w:tab w:val="right" w:leader="dot" w:pos="9629"/>
        </w:tabs>
        <w:jc w:val="both"/>
        <w:rPr>
          <w:rFonts w:asciiTheme="minorHAnsi" w:eastAsiaTheme="minorEastAsia" w:hAnsiTheme="minorHAnsi"/>
          <w:b w:val="0"/>
          <w:noProof/>
          <w:sz w:val="22"/>
          <w:lang w:val="sv-SE" w:eastAsia="sv-SE"/>
        </w:rPr>
      </w:pPr>
      <w:hyperlink w:anchor="_Toc79180102" w:history="1">
        <w:r w:rsidRPr="002C0285">
          <w:rPr>
            <w:rStyle w:val="Hyperlink"/>
            <w:noProof/>
          </w:rPr>
          <w:t>Observation 10</w:t>
        </w:r>
        <w:r>
          <w:rPr>
            <w:rFonts w:asciiTheme="minorHAnsi" w:eastAsiaTheme="minorEastAsia" w:hAnsiTheme="minorHAnsi"/>
            <w:b w:val="0"/>
            <w:noProof/>
            <w:sz w:val="22"/>
            <w:lang w:val="sv-SE" w:eastAsia="sv-SE"/>
          </w:rPr>
          <w:tab/>
        </w:r>
        <w:r w:rsidRPr="002C0285">
          <w:rPr>
            <w:rStyle w:val="Hyperlink"/>
            <w:noProof/>
          </w:rPr>
          <w:t>Case-1 and Case-6 timing use disjoint sets of T_delta,index values.</w:t>
        </w:r>
      </w:hyperlink>
    </w:p>
    <w:p w14:paraId="6986B742" w14:textId="3E6F38E8" w:rsidR="00BC7F0D" w:rsidRDefault="00BC7F0D" w:rsidP="00BC7F0D">
      <w:pPr>
        <w:pStyle w:val="TableofFigures"/>
        <w:tabs>
          <w:tab w:val="right" w:leader="dot" w:pos="9629"/>
        </w:tabs>
        <w:jc w:val="both"/>
        <w:rPr>
          <w:rFonts w:asciiTheme="minorHAnsi" w:eastAsiaTheme="minorEastAsia" w:hAnsiTheme="minorHAnsi"/>
          <w:b w:val="0"/>
          <w:noProof/>
          <w:sz w:val="22"/>
          <w:lang w:val="sv-SE" w:eastAsia="sv-SE"/>
        </w:rPr>
      </w:pPr>
      <w:hyperlink w:anchor="_Toc79180103" w:history="1">
        <w:r w:rsidRPr="002C0285">
          <w:rPr>
            <w:rStyle w:val="Hyperlink"/>
            <w:noProof/>
          </w:rPr>
          <w:t>Observation 11</w:t>
        </w:r>
        <w:r>
          <w:rPr>
            <w:rFonts w:asciiTheme="minorHAnsi" w:eastAsiaTheme="minorEastAsia" w:hAnsiTheme="minorHAnsi"/>
            <w:b w:val="0"/>
            <w:noProof/>
            <w:sz w:val="22"/>
            <w:lang w:val="sv-SE" w:eastAsia="sv-SE"/>
          </w:rPr>
          <w:tab/>
        </w:r>
        <w:r w:rsidRPr="002C0285">
          <w:rPr>
            <w:rStyle w:val="Hyperlink"/>
            <w:noProof/>
          </w:rPr>
          <w:t>A parent node could be enabled to know the TA of a descendent IAB-node or estimate propagation delay, only if the descendent IAB-node would provide information about its TA through new signaling.</w:t>
        </w:r>
      </w:hyperlink>
    </w:p>
    <w:p w14:paraId="703159B5" w14:textId="7762CA96" w:rsidR="00BC7F0D" w:rsidRDefault="00BC7F0D" w:rsidP="00BC7F0D">
      <w:pPr>
        <w:pStyle w:val="TableofFigures"/>
        <w:tabs>
          <w:tab w:val="right" w:leader="dot" w:pos="9629"/>
        </w:tabs>
        <w:jc w:val="both"/>
        <w:rPr>
          <w:rFonts w:asciiTheme="minorHAnsi" w:eastAsiaTheme="minorEastAsia" w:hAnsiTheme="minorHAnsi"/>
          <w:b w:val="0"/>
          <w:noProof/>
          <w:sz w:val="22"/>
          <w:lang w:val="sv-SE" w:eastAsia="sv-SE"/>
        </w:rPr>
      </w:pPr>
      <w:hyperlink w:anchor="_Toc79180104" w:history="1">
        <w:r w:rsidRPr="002C0285">
          <w:rPr>
            <w:rStyle w:val="Hyperlink"/>
            <w:noProof/>
          </w:rPr>
          <w:t>Observation 12</w:t>
        </w:r>
        <w:r>
          <w:rPr>
            <w:rFonts w:asciiTheme="minorHAnsi" w:eastAsiaTheme="minorEastAsia" w:hAnsiTheme="minorHAnsi"/>
            <w:b w:val="0"/>
            <w:noProof/>
            <w:sz w:val="22"/>
            <w:lang w:val="sv-SE" w:eastAsia="sv-SE"/>
          </w:rPr>
          <w:tab/>
        </w:r>
        <w:r w:rsidRPr="002C0285">
          <w:rPr>
            <w:rStyle w:val="Hyperlink"/>
            <w:noProof/>
          </w:rPr>
          <w:t>If the offset in Alt-1 or Alt-3 is based on T_delta, or equivalent information, Alt-1 and Alt-3 also become equivalent to Alt-2 with the disadvantage of requiring an additional signaled parameter.</w:t>
        </w:r>
      </w:hyperlink>
    </w:p>
    <w:p w14:paraId="304B62D3" w14:textId="195E5281" w:rsidR="00BC7F0D" w:rsidRDefault="00BC7F0D" w:rsidP="00BC7F0D">
      <w:pPr>
        <w:pStyle w:val="TableofFigures"/>
        <w:tabs>
          <w:tab w:val="right" w:leader="dot" w:pos="9629"/>
        </w:tabs>
        <w:jc w:val="both"/>
        <w:rPr>
          <w:rFonts w:asciiTheme="minorHAnsi" w:eastAsiaTheme="minorEastAsia" w:hAnsiTheme="minorHAnsi"/>
          <w:b w:val="0"/>
          <w:noProof/>
          <w:sz w:val="22"/>
          <w:lang w:val="sv-SE" w:eastAsia="sv-SE"/>
        </w:rPr>
      </w:pPr>
      <w:hyperlink w:anchor="_Toc79180105" w:history="1">
        <w:r w:rsidRPr="002C0285">
          <w:rPr>
            <w:rStyle w:val="Hyperlink"/>
            <w:noProof/>
          </w:rPr>
          <w:t>Observation 13</w:t>
        </w:r>
        <w:r>
          <w:rPr>
            <w:rFonts w:asciiTheme="minorHAnsi" w:eastAsiaTheme="minorEastAsia" w:hAnsiTheme="minorHAnsi"/>
            <w:b w:val="0"/>
            <w:noProof/>
            <w:sz w:val="22"/>
            <w:lang w:val="sv-SE" w:eastAsia="sv-SE"/>
          </w:rPr>
          <w:tab/>
        </w:r>
        <w:r w:rsidRPr="002C0285">
          <w:rPr>
            <w:rStyle w:val="Hyperlink"/>
            <w:noProof/>
          </w:rPr>
          <w:t>For wide-area IAB-nodes using downlink slots for backhaul transmissions, network planning is sufficient for interference mitigation.</w:t>
        </w:r>
      </w:hyperlink>
    </w:p>
    <w:p w14:paraId="571B0C0C" w14:textId="7539E61B" w:rsidR="00BC7F0D" w:rsidRDefault="00BC7F0D" w:rsidP="00BC7F0D">
      <w:pPr>
        <w:pStyle w:val="TableofFigures"/>
        <w:tabs>
          <w:tab w:val="right" w:leader="dot" w:pos="9629"/>
        </w:tabs>
        <w:jc w:val="both"/>
        <w:rPr>
          <w:rFonts w:asciiTheme="minorHAnsi" w:eastAsiaTheme="minorEastAsia" w:hAnsiTheme="minorHAnsi"/>
          <w:b w:val="0"/>
          <w:noProof/>
          <w:sz w:val="22"/>
          <w:lang w:val="sv-SE" w:eastAsia="sv-SE"/>
        </w:rPr>
      </w:pPr>
      <w:hyperlink w:anchor="_Toc79180106" w:history="1">
        <w:r w:rsidRPr="002C0285">
          <w:rPr>
            <w:rStyle w:val="Hyperlink"/>
            <w:noProof/>
          </w:rPr>
          <w:t>Observation 14</w:t>
        </w:r>
        <w:r>
          <w:rPr>
            <w:rFonts w:asciiTheme="minorHAnsi" w:eastAsiaTheme="minorEastAsia" w:hAnsiTheme="minorHAnsi"/>
            <w:b w:val="0"/>
            <w:noProof/>
            <w:sz w:val="22"/>
            <w:lang w:val="sv-SE" w:eastAsia="sv-SE"/>
          </w:rPr>
          <w:tab/>
        </w:r>
        <w:r w:rsidRPr="002C0285">
          <w:rPr>
            <w:rStyle w:val="Hyperlink"/>
            <w:noProof/>
          </w:rPr>
          <w:t>For wide-area IAB-nodes using uplink slots for uplink backhaul, the most critical interference situation is when an IAB-MT transmission interferes with a UE transmission, and amounts to a gNB transmitting in UL slots.</w:t>
        </w:r>
      </w:hyperlink>
    </w:p>
    <w:p w14:paraId="43AA0891" w14:textId="5BDCD051" w:rsidR="00BC7F0D" w:rsidRDefault="00BC7F0D" w:rsidP="00BC7F0D">
      <w:pPr>
        <w:pStyle w:val="TableofFigures"/>
        <w:tabs>
          <w:tab w:val="right" w:leader="dot" w:pos="9629"/>
        </w:tabs>
        <w:jc w:val="both"/>
        <w:rPr>
          <w:rFonts w:asciiTheme="minorHAnsi" w:eastAsiaTheme="minorEastAsia" w:hAnsiTheme="minorHAnsi"/>
          <w:b w:val="0"/>
          <w:noProof/>
          <w:sz w:val="22"/>
          <w:lang w:val="sv-SE" w:eastAsia="sv-SE"/>
        </w:rPr>
      </w:pPr>
      <w:hyperlink w:anchor="_Toc79180107" w:history="1">
        <w:r w:rsidRPr="002C0285">
          <w:rPr>
            <w:rStyle w:val="Hyperlink"/>
            <w:noProof/>
          </w:rPr>
          <w:t>Observation 15</w:t>
        </w:r>
        <w:r>
          <w:rPr>
            <w:rFonts w:asciiTheme="minorHAnsi" w:eastAsiaTheme="minorEastAsia" w:hAnsiTheme="minorHAnsi"/>
            <w:b w:val="0"/>
            <w:noProof/>
            <w:sz w:val="22"/>
            <w:lang w:val="sv-SE" w:eastAsia="sv-SE"/>
          </w:rPr>
          <w:tab/>
        </w:r>
        <w:r w:rsidRPr="002C0285">
          <w:rPr>
            <w:rStyle w:val="Hyperlink"/>
            <w:noProof/>
          </w:rPr>
          <w:t>Wide-area IAB-nodes transmitting in UL slots would cause interference outside the IAB network, causing unexpected blind spots with reduced coverage, and would require more extensive network planning, complicating deployment flexibility, which may affect overall network performance.</w:t>
        </w:r>
      </w:hyperlink>
    </w:p>
    <w:p w14:paraId="6D178534" w14:textId="7DED63C7" w:rsidR="00BC7F0D" w:rsidRDefault="00BC7F0D" w:rsidP="00BC7F0D">
      <w:pPr>
        <w:pStyle w:val="TableofFigures"/>
        <w:tabs>
          <w:tab w:val="right" w:leader="dot" w:pos="9629"/>
        </w:tabs>
        <w:jc w:val="both"/>
        <w:rPr>
          <w:rFonts w:asciiTheme="minorHAnsi" w:eastAsiaTheme="minorEastAsia" w:hAnsiTheme="minorHAnsi"/>
          <w:b w:val="0"/>
          <w:noProof/>
          <w:sz w:val="22"/>
          <w:lang w:val="sv-SE" w:eastAsia="sv-SE"/>
        </w:rPr>
      </w:pPr>
      <w:hyperlink w:anchor="_Toc79180108" w:history="1">
        <w:r w:rsidRPr="002C0285">
          <w:rPr>
            <w:rStyle w:val="Hyperlink"/>
            <w:noProof/>
          </w:rPr>
          <w:t>Observation 16</w:t>
        </w:r>
        <w:r>
          <w:rPr>
            <w:rFonts w:asciiTheme="minorHAnsi" w:eastAsiaTheme="minorEastAsia" w:hAnsiTheme="minorHAnsi"/>
            <w:b w:val="0"/>
            <w:noProof/>
            <w:sz w:val="22"/>
            <w:lang w:val="sv-SE" w:eastAsia="sv-SE"/>
          </w:rPr>
          <w:tab/>
        </w:r>
        <w:r w:rsidRPr="002C0285">
          <w:rPr>
            <w:rStyle w:val="Hyperlink"/>
            <w:noProof/>
          </w:rPr>
          <w:t>Additional enhanced interference mitigation and associated parent-child signaling, apart from what is already agreed, is not needed.</w:t>
        </w:r>
      </w:hyperlink>
    </w:p>
    <w:p w14:paraId="3A5E16A0" w14:textId="5328C0BF" w:rsidR="00BC7F0D" w:rsidRDefault="00BC7F0D" w:rsidP="00BC7F0D">
      <w:pPr>
        <w:pStyle w:val="TableofFigures"/>
        <w:tabs>
          <w:tab w:val="right" w:leader="dot" w:pos="9629"/>
        </w:tabs>
        <w:jc w:val="both"/>
        <w:rPr>
          <w:rFonts w:asciiTheme="minorHAnsi" w:eastAsiaTheme="minorEastAsia" w:hAnsiTheme="minorHAnsi"/>
          <w:b w:val="0"/>
          <w:noProof/>
          <w:sz w:val="22"/>
          <w:lang w:val="sv-SE" w:eastAsia="sv-SE"/>
        </w:rPr>
      </w:pPr>
      <w:hyperlink w:anchor="_Toc79180109" w:history="1">
        <w:r w:rsidRPr="002C0285">
          <w:rPr>
            <w:rStyle w:val="Hyperlink"/>
            <w:noProof/>
          </w:rPr>
          <w:t>Observation 17</w:t>
        </w:r>
        <w:r>
          <w:rPr>
            <w:rFonts w:asciiTheme="minorHAnsi" w:eastAsiaTheme="minorEastAsia" w:hAnsiTheme="minorHAnsi"/>
            <w:b w:val="0"/>
            <w:noProof/>
            <w:sz w:val="22"/>
            <w:lang w:val="sv-SE" w:eastAsia="sv-SE"/>
          </w:rPr>
          <w:tab/>
        </w:r>
        <w:r w:rsidRPr="002C0285">
          <w:rPr>
            <w:rStyle w:val="Hyperlink"/>
            <w:noProof/>
          </w:rPr>
          <w:t>Signaling a desired Tx power has no relation to the present transmit power level whereas signaling either an offset to a PHR or a desired dynamic range indicates a preferred Tx power threshold compared to the present Tx power level.</w:t>
        </w:r>
      </w:hyperlink>
    </w:p>
    <w:p w14:paraId="4696BFFB" w14:textId="454DB00A" w:rsidR="00BC7F0D" w:rsidRDefault="00BC7F0D" w:rsidP="00BC7F0D">
      <w:pPr>
        <w:pStyle w:val="TableofFigures"/>
        <w:tabs>
          <w:tab w:val="right" w:leader="dot" w:pos="9629"/>
        </w:tabs>
        <w:jc w:val="both"/>
        <w:rPr>
          <w:rFonts w:asciiTheme="minorHAnsi" w:eastAsiaTheme="minorEastAsia" w:hAnsiTheme="minorHAnsi"/>
          <w:b w:val="0"/>
          <w:noProof/>
          <w:sz w:val="22"/>
          <w:lang w:val="sv-SE" w:eastAsia="sv-SE"/>
        </w:rPr>
      </w:pPr>
      <w:hyperlink w:anchor="_Toc79180110" w:history="1">
        <w:r w:rsidRPr="002C0285">
          <w:rPr>
            <w:rStyle w:val="Hyperlink"/>
            <w:noProof/>
          </w:rPr>
          <w:t>Observation 18</w:t>
        </w:r>
        <w:r>
          <w:rPr>
            <w:rFonts w:asciiTheme="minorHAnsi" w:eastAsiaTheme="minorEastAsia" w:hAnsiTheme="minorHAnsi"/>
            <w:b w:val="0"/>
            <w:noProof/>
            <w:sz w:val="22"/>
            <w:lang w:val="sv-SE" w:eastAsia="sv-SE"/>
          </w:rPr>
          <w:tab/>
        </w:r>
        <w:r w:rsidRPr="002C0285">
          <w:rPr>
            <w:rStyle w:val="Hyperlink"/>
            <w:noProof/>
          </w:rPr>
          <w:t xml:space="preserve">An </w:t>
        </w:r>
        <w:r w:rsidRPr="002C0285">
          <w:rPr>
            <w:rStyle w:val="Hyperlink"/>
            <w:i/>
            <w:noProof/>
          </w:rPr>
          <w:t>offset to a PHR</w:t>
        </w:r>
        <w:r w:rsidRPr="002C0285">
          <w:rPr>
            <w:rStyle w:val="Hyperlink"/>
            <w:noProof/>
          </w:rPr>
          <w:t xml:space="preserve"> is dynamic in that it varies with the Tx power levels whereas a </w:t>
        </w:r>
        <w:r w:rsidRPr="002C0285">
          <w:rPr>
            <w:rStyle w:val="Hyperlink"/>
            <w:i/>
            <w:noProof/>
          </w:rPr>
          <w:t>preferred dynamic range</w:t>
        </w:r>
        <w:r w:rsidRPr="002C0285">
          <w:rPr>
            <w:rStyle w:val="Hyperlink"/>
            <w:noProof/>
          </w:rPr>
          <w:t xml:space="preserve"> is static, thereby requiring less signaling.</w:t>
        </w:r>
      </w:hyperlink>
    </w:p>
    <w:p w14:paraId="204FE171" w14:textId="2588D7FC" w:rsidR="00BC7F0D" w:rsidRDefault="00BC7F0D" w:rsidP="00BC7F0D">
      <w:pPr>
        <w:pStyle w:val="TableofFigures"/>
        <w:tabs>
          <w:tab w:val="right" w:leader="dot" w:pos="9629"/>
        </w:tabs>
        <w:jc w:val="both"/>
        <w:rPr>
          <w:rFonts w:asciiTheme="minorHAnsi" w:eastAsiaTheme="minorEastAsia" w:hAnsiTheme="minorHAnsi"/>
          <w:b w:val="0"/>
          <w:noProof/>
          <w:sz w:val="22"/>
          <w:lang w:val="sv-SE" w:eastAsia="sv-SE"/>
        </w:rPr>
      </w:pPr>
      <w:hyperlink w:anchor="_Toc79180111" w:history="1">
        <w:r w:rsidRPr="002C0285">
          <w:rPr>
            <w:rStyle w:val="Hyperlink"/>
            <w:noProof/>
          </w:rPr>
          <w:t>Observation 19</w:t>
        </w:r>
        <w:r>
          <w:rPr>
            <w:rFonts w:asciiTheme="minorHAnsi" w:eastAsiaTheme="minorEastAsia" w:hAnsiTheme="minorHAnsi"/>
            <w:b w:val="0"/>
            <w:noProof/>
            <w:sz w:val="22"/>
            <w:lang w:val="sv-SE" w:eastAsia="sv-SE"/>
          </w:rPr>
          <w:tab/>
        </w:r>
        <w:r w:rsidRPr="002C0285">
          <w:rPr>
            <w:rStyle w:val="Hyperlink"/>
            <w:noProof/>
          </w:rPr>
          <w:t>Access slots require constant transmission power whereas power control in backhaul slots may be advantageous for simultaneous operation.</w:t>
        </w:r>
      </w:hyperlink>
    </w:p>
    <w:p w14:paraId="245D8491" w14:textId="33887D0D" w:rsidR="006E1C82" w:rsidRPr="009F2042" w:rsidRDefault="006F6582" w:rsidP="00BC7F0D">
      <w:pPr>
        <w:pStyle w:val="BodyText"/>
        <w:rPr>
          <w:b/>
        </w:rPr>
      </w:pPr>
      <w:r w:rsidRPr="009F2042">
        <w:rPr>
          <w:b/>
        </w:rPr>
        <w:lastRenderedPageBreak/>
        <w:fldChar w:fldCharType="end"/>
      </w:r>
    </w:p>
    <w:p w14:paraId="32B380F3" w14:textId="77777777" w:rsidR="006E1C82" w:rsidRPr="009F2042" w:rsidRDefault="008E065E" w:rsidP="00BC7F0D">
      <w:pPr>
        <w:pStyle w:val="BodyText"/>
      </w:pPr>
      <w:r w:rsidRPr="009F2042">
        <w:t xml:space="preserve">Based on the discussion in </w:t>
      </w:r>
      <w:r w:rsidR="007729A2" w:rsidRPr="009F2042">
        <w:t xml:space="preserve">the previous </w:t>
      </w:r>
      <w:r w:rsidRPr="009F2042">
        <w:t>section</w:t>
      </w:r>
      <w:r w:rsidR="007729A2" w:rsidRPr="009F2042">
        <w:t>s</w:t>
      </w:r>
      <w:r w:rsidRPr="009F2042">
        <w:t xml:space="preserve"> we propose the following:</w:t>
      </w:r>
    </w:p>
    <w:p w14:paraId="458E3520" w14:textId="6F5A4FEB" w:rsidR="00BC7F0D" w:rsidRDefault="006E1C82" w:rsidP="00BC7F0D">
      <w:pPr>
        <w:pStyle w:val="TableofFigures"/>
        <w:tabs>
          <w:tab w:val="right" w:leader="dot" w:pos="9629"/>
        </w:tabs>
        <w:jc w:val="both"/>
        <w:rPr>
          <w:rFonts w:asciiTheme="minorHAnsi" w:eastAsiaTheme="minorEastAsia" w:hAnsiTheme="minorHAnsi"/>
          <w:b w:val="0"/>
          <w:noProof/>
          <w:sz w:val="22"/>
          <w:lang w:val="sv-SE" w:eastAsia="sv-SE"/>
        </w:rPr>
      </w:pPr>
      <w:r w:rsidRPr="009F2042">
        <w:rPr>
          <w:b w:val="0"/>
        </w:rPr>
        <w:fldChar w:fldCharType="begin"/>
      </w:r>
      <w:r w:rsidRPr="009F2042">
        <w:rPr>
          <w:b w:val="0"/>
        </w:rPr>
        <w:instrText xml:space="preserve"> TOC \n \h \z \t "Proposal" \c </w:instrText>
      </w:r>
      <w:r w:rsidRPr="009F2042">
        <w:rPr>
          <w:b w:val="0"/>
        </w:rPr>
        <w:fldChar w:fldCharType="separate"/>
      </w:r>
      <w:hyperlink w:anchor="_Toc79180112" w:history="1">
        <w:r w:rsidR="00BC7F0D" w:rsidRPr="00FA3A2C">
          <w:rPr>
            <w:rStyle w:val="Hyperlink"/>
            <w:noProof/>
          </w:rPr>
          <w:t>Proposal 1</w:t>
        </w:r>
        <w:r w:rsidR="00BC7F0D">
          <w:rPr>
            <w:rFonts w:asciiTheme="minorHAnsi" w:eastAsiaTheme="minorEastAsia" w:hAnsiTheme="minorHAnsi"/>
            <w:b w:val="0"/>
            <w:noProof/>
            <w:sz w:val="22"/>
            <w:lang w:val="sv-SE" w:eastAsia="sv-SE"/>
          </w:rPr>
          <w:tab/>
        </w:r>
        <w:r w:rsidR="00BC7F0D" w:rsidRPr="00FA3A2C">
          <w:rPr>
            <w:rStyle w:val="Hyperlink"/>
            <w:noProof/>
          </w:rPr>
          <w:t xml:space="preserve">Any </w:t>
        </w:r>
        <w:r w:rsidR="00BC7F0D" w:rsidRPr="00FA3A2C">
          <w:rPr>
            <w:rStyle w:val="Hyperlink"/>
            <w:noProof/>
            <w:lang w:eastAsia="ja-JP"/>
          </w:rPr>
          <w:t xml:space="preserve">synchronization </w:t>
        </w:r>
        <w:r w:rsidR="00BC7F0D" w:rsidRPr="00FA3A2C">
          <w:rPr>
            <w:rStyle w:val="Hyperlink"/>
            <w:noProof/>
          </w:rPr>
          <w:t xml:space="preserve">method </w:t>
        </w:r>
        <w:r w:rsidR="00BC7F0D" w:rsidRPr="00FA3A2C">
          <w:rPr>
            <w:rStyle w:val="Hyperlink"/>
            <w:noProof/>
            <w:lang w:eastAsia="ja-JP"/>
          </w:rPr>
          <w:t xml:space="preserve">for IAB-nodes for simultaneous transmission </w:t>
        </w:r>
        <w:r w:rsidR="00BC7F0D" w:rsidRPr="00FA3A2C">
          <w:rPr>
            <w:rStyle w:val="Hyperlink"/>
            <w:noProof/>
          </w:rPr>
          <w:t>should also support nodes that require identical MT and DU Tx timing.</w:t>
        </w:r>
      </w:hyperlink>
    </w:p>
    <w:p w14:paraId="7B98F7FE" w14:textId="2D34705C" w:rsidR="00BC7F0D" w:rsidRDefault="00BC7F0D" w:rsidP="00BC7F0D">
      <w:pPr>
        <w:pStyle w:val="TableofFigures"/>
        <w:tabs>
          <w:tab w:val="right" w:leader="dot" w:pos="9629"/>
        </w:tabs>
        <w:jc w:val="both"/>
        <w:rPr>
          <w:rFonts w:asciiTheme="minorHAnsi" w:eastAsiaTheme="minorEastAsia" w:hAnsiTheme="minorHAnsi"/>
          <w:b w:val="0"/>
          <w:noProof/>
          <w:sz w:val="22"/>
          <w:lang w:val="sv-SE" w:eastAsia="sv-SE"/>
        </w:rPr>
      </w:pPr>
      <w:hyperlink w:anchor="_Toc79180113" w:history="1">
        <w:r w:rsidRPr="00FA3A2C">
          <w:rPr>
            <w:rStyle w:val="Hyperlink"/>
            <w:noProof/>
          </w:rPr>
          <w:t>Proposal 2</w:t>
        </w:r>
        <w:r>
          <w:rPr>
            <w:rFonts w:asciiTheme="minorHAnsi" w:eastAsiaTheme="minorEastAsia" w:hAnsiTheme="minorHAnsi"/>
            <w:b w:val="0"/>
            <w:noProof/>
            <w:sz w:val="22"/>
            <w:lang w:val="sv-SE" w:eastAsia="sv-SE"/>
          </w:rPr>
          <w:tab/>
        </w:r>
        <w:r w:rsidRPr="00FA3A2C">
          <w:rPr>
            <w:rStyle w:val="Hyperlink"/>
            <w:noProof/>
          </w:rPr>
          <w:t>In Case-6 timing, the MT’s Tx timing is set by the node to the timing obtained for the node’s DL Tx and the valid T_delta index range is extended from (0,1…1199) to (0,1…2047).</w:t>
        </w:r>
      </w:hyperlink>
    </w:p>
    <w:p w14:paraId="366ED6A4" w14:textId="2B9B90FB" w:rsidR="00BC7F0D" w:rsidRDefault="00BC7F0D" w:rsidP="00BC7F0D">
      <w:pPr>
        <w:pStyle w:val="TableofFigures"/>
        <w:tabs>
          <w:tab w:val="right" w:leader="dot" w:pos="9629"/>
        </w:tabs>
        <w:jc w:val="both"/>
        <w:rPr>
          <w:rFonts w:asciiTheme="minorHAnsi" w:eastAsiaTheme="minorEastAsia" w:hAnsiTheme="minorHAnsi"/>
          <w:b w:val="0"/>
          <w:noProof/>
          <w:sz w:val="22"/>
          <w:lang w:val="sv-SE" w:eastAsia="sv-SE"/>
        </w:rPr>
      </w:pPr>
      <w:hyperlink w:anchor="_Toc79180114" w:history="1">
        <w:r w:rsidRPr="00FA3A2C">
          <w:rPr>
            <w:rStyle w:val="Hyperlink"/>
            <w:noProof/>
          </w:rPr>
          <w:t>Proposal 3</w:t>
        </w:r>
        <w:r>
          <w:rPr>
            <w:rFonts w:asciiTheme="minorHAnsi" w:eastAsiaTheme="minorEastAsia" w:hAnsiTheme="minorHAnsi"/>
            <w:b w:val="0"/>
            <w:noProof/>
            <w:sz w:val="22"/>
            <w:lang w:val="sv-SE" w:eastAsia="sv-SE"/>
          </w:rPr>
          <w:tab/>
        </w:r>
        <w:r w:rsidRPr="00FA3A2C">
          <w:rPr>
            <w:rStyle w:val="Hyperlink"/>
            <w:noProof/>
          </w:rPr>
          <w:t>Discuss whether there exist use cases with increased ISD, and if so, if these use cases warrant extending the bit field of the T_delta MAC CE.</w:t>
        </w:r>
      </w:hyperlink>
    </w:p>
    <w:p w14:paraId="552D25B9" w14:textId="7E255E02" w:rsidR="00BC7F0D" w:rsidRDefault="00BC7F0D" w:rsidP="00BC7F0D">
      <w:pPr>
        <w:pStyle w:val="TableofFigures"/>
        <w:tabs>
          <w:tab w:val="right" w:leader="dot" w:pos="9629"/>
        </w:tabs>
        <w:jc w:val="both"/>
        <w:rPr>
          <w:rFonts w:asciiTheme="minorHAnsi" w:eastAsiaTheme="minorEastAsia" w:hAnsiTheme="minorHAnsi"/>
          <w:b w:val="0"/>
          <w:noProof/>
          <w:sz w:val="22"/>
          <w:lang w:val="sv-SE" w:eastAsia="sv-SE"/>
        </w:rPr>
      </w:pPr>
      <w:hyperlink w:anchor="_Toc79180115" w:history="1">
        <w:r w:rsidRPr="00FA3A2C">
          <w:rPr>
            <w:rStyle w:val="Hyperlink"/>
            <w:noProof/>
          </w:rPr>
          <w:t>Proposal 4</w:t>
        </w:r>
        <w:r>
          <w:rPr>
            <w:rFonts w:asciiTheme="minorHAnsi" w:eastAsiaTheme="minorEastAsia" w:hAnsiTheme="minorHAnsi"/>
            <w:b w:val="0"/>
            <w:noProof/>
            <w:sz w:val="22"/>
            <w:lang w:val="sv-SE" w:eastAsia="sv-SE"/>
          </w:rPr>
          <w:tab/>
        </w:r>
        <w:r w:rsidRPr="00FA3A2C">
          <w:rPr>
            <w:rStyle w:val="Hyperlink"/>
            <w:noProof/>
          </w:rPr>
          <w:t>Use a common T_delta,index signaling for Case-1 and Case-6 timing.</w:t>
        </w:r>
      </w:hyperlink>
    </w:p>
    <w:p w14:paraId="400D035F" w14:textId="296F0437" w:rsidR="00BC7F0D" w:rsidRDefault="00BC7F0D" w:rsidP="00BC7F0D">
      <w:pPr>
        <w:pStyle w:val="TableofFigures"/>
        <w:tabs>
          <w:tab w:val="right" w:leader="dot" w:pos="9629"/>
        </w:tabs>
        <w:jc w:val="both"/>
        <w:rPr>
          <w:rFonts w:asciiTheme="minorHAnsi" w:eastAsiaTheme="minorEastAsia" w:hAnsiTheme="minorHAnsi"/>
          <w:b w:val="0"/>
          <w:noProof/>
          <w:sz w:val="22"/>
          <w:lang w:val="sv-SE" w:eastAsia="sv-SE"/>
        </w:rPr>
      </w:pPr>
      <w:hyperlink w:anchor="_Toc79180116" w:history="1">
        <w:r w:rsidRPr="00FA3A2C">
          <w:rPr>
            <w:rStyle w:val="Hyperlink"/>
            <w:noProof/>
          </w:rPr>
          <w:t>Proposal 5</w:t>
        </w:r>
        <w:r>
          <w:rPr>
            <w:rFonts w:asciiTheme="minorHAnsi" w:eastAsiaTheme="minorEastAsia" w:hAnsiTheme="minorHAnsi"/>
            <w:b w:val="0"/>
            <w:noProof/>
            <w:sz w:val="22"/>
            <w:lang w:val="sv-SE" w:eastAsia="sv-SE"/>
          </w:rPr>
          <w:tab/>
        </w:r>
        <w:r w:rsidRPr="00FA3A2C">
          <w:rPr>
            <w:rStyle w:val="Hyperlink"/>
            <w:noProof/>
          </w:rPr>
          <w:t>Proponents of Alt-1 or Alt-3 should describe in detail how the offset in these alternatives can be derived by the (parent) IAB-node alone and is not already provided through T_delta.</w:t>
        </w:r>
      </w:hyperlink>
    </w:p>
    <w:p w14:paraId="4E473332" w14:textId="082804F9" w:rsidR="00BC7F0D" w:rsidRDefault="00BC7F0D" w:rsidP="00BC7F0D">
      <w:pPr>
        <w:pStyle w:val="TableofFigures"/>
        <w:tabs>
          <w:tab w:val="right" w:leader="dot" w:pos="9629"/>
        </w:tabs>
        <w:jc w:val="both"/>
        <w:rPr>
          <w:rFonts w:asciiTheme="minorHAnsi" w:eastAsiaTheme="minorEastAsia" w:hAnsiTheme="minorHAnsi"/>
          <w:b w:val="0"/>
          <w:noProof/>
          <w:sz w:val="22"/>
          <w:lang w:val="sv-SE" w:eastAsia="sv-SE"/>
        </w:rPr>
      </w:pPr>
      <w:hyperlink w:anchor="_Toc79180117" w:history="1">
        <w:r w:rsidRPr="00FA3A2C">
          <w:rPr>
            <w:rStyle w:val="Hyperlink"/>
            <w:noProof/>
          </w:rPr>
          <w:t>Proposal 6</w:t>
        </w:r>
        <w:r>
          <w:rPr>
            <w:rFonts w:asciiTheme="minorHAnsi" w:eastAsiaTheme="minorEastAsia" w:hAnsiTheme="minorHAnsi"/>
            <w:b w:val="0"/>
            <w:noProof/>
            <w:sz w:val="22"/>
            <w:lang w:val="sv-SE" w:eastAsia="sv-SE"/>
          </w:rPr>
          <w:tab/>
        </w:r>
        <w:r w:rsidRPr="00FA3A2C">
          <w:rPr>
            <w:rStyle w:val="Hyperlink"/>
            <w:noProof/>
          </w:rPr>
          <w:t>Use a common T_delta,index signaling for Case-1 and Case-7 timing.</w:t>
        </w:r>
      </w:hyperlink>
    </w:p>
    <w:p w14:paraId="1C83DD48" w14:textId="5635A89E" w:rsidR="00BC7F0D" w:rsidRDefault="00BC7F0D" w:rsidP="00BC7F0D">
      <w:pPr>
        <w:pStyle w:val="TableofFigures"/>
        <w:tabs>
          <w:tab w:val="right" w:leader="dot" w:pos="9629"/>
        </w:tabs>
        <w:jc w:val="both"/>
        <w:rPr>
          <w:rFonts w:asciiTheme="minorHAnsi" w:eastAsiaTheme="minorEastAsia" w:hAnsiTheme="minorHAnsi"/>
          <w:b w:val="0"/>
          <w:noProof/>
          <w:sz w:val="22"/>
          <w:lang w:val="sv-SE" w:eastAsia="sv-SE"/>
        </w:rPr>
      </w:pPr>
      <w:hyperlink w:anchor="_Toc79180118" w:history="1">
        <w:r w:rsidRPr="00FA3A2C">
          <w:rPr>
            <w:rStyle w:val="Hyperlink"/>
            <w:noProof/>
          </w:rPr>
          <w:t>Proposal 7</w:t>
        </w:r>
        <w:r>
          <w:rPr>
            <w:rFonts w:asciiTheme="minorHAnsi" w:eastAsiaTheme="minorEastAsia" w:hAnsiTheme="minorHAnsi"/>
            <w:b w:val="0"/>
            <w:noProof/>
            <w:sz w:val="22"/>
            <w:lang w:val="sv-SE" w:eastAsia="sv-SE"/>
          </w:rPr>
          <w:tab/>
        </w:r>
        <w:r w:rsidRPr="00FA3A2C">
          <w:rPr>
            <w:rStyle w:val="Hyperlink"/>
            <w:noProof/>
          </w:rPr>
          <w:t>For Case-7 timing at the parent node, the IAB-MT Tx timing is set by the parent node with a Case-7 specific TA loop.</w:t>
        </w:r>
      </w:hyperlink>
    </w:p>
    <w:p w14:paraId="09CCDE03" w14:textId="09DB70D6" w:rsidR="00BC7F0D" w:rsidRDefault="00BC7F0D" w:rsidP="00BC7F0D">
      <w:pPr>
        <w:pStyle w:val="TableofFigures"/>
        <w:tabs>
          <w:tab w:val="right" w:leader="dot" w:pos="9629"/>
        </w:tabs>
        <w:jc w:val="both"/>
        <w:rPr>
          <w:rFonts w:asciiTheme="minorHAnsi" w:eastAsiaTheme="minorEastAsia" w:hAnsiTheme="minorHAnsi"/>
          <w:b w:val="0"/>
          <w:noProof/>
          <w:sz w:val="22"/>
          <w:lang w:val="sv-SE" w:eastAsia="sv-SE"/>
        </w:rPr>
      </w:pPr>
      <w:hyperlink w:anchor="_Toc79180119" w:history="1">
        <w:r w:rsidRPr="00FA3A2C">
          <w:rPr>
            <w:rStyle w:val="Hyperlink"/>
            <w:noProof/>
          </w:rPr>
          <w:t>Proposal 8</w:t>
        </w:r>
        <w:r>
          <w:rPr>
            <w:rFonts w:asciiTheme="minorHAnsi" w:eastAsiaTheme="minorEastAsia" w:hAnsiTheme="minorHAnsi"/>
            <w:b w:val="0"/>
            <w:noProof/>
            <w:sz w:val="22"/>
            <w:lang w:val="sv-SE" w:eastAsia="sv-SE"/>
          </w:rPr>
          <w:tab/>
        </w:r>
        <w:r w:rsidRPr="00FA3A2C">
          <w:rPr>
            <w:rStyle w:val="Hyperlink"/>
            <w:noProof/>
          </w:rPr>
          <w:t>RAN1 should focus on the cases where interference is more severe than in a non-IAB network.</w:t>
        </w:r>
      </w:hyperlink>
    </w:p>
    <w:p w14:paraId="136DDE2D" w14:textId="703E03BE" w:rsidR="00BC7F0D" w:rsidRDefault="00BC7F0D" w:rsidP="00BC7F0D">
      <w:pPr>
        <w:pStyle w:val="TableofFigures"/>
        <w:tabs>
          <w:tab w:val="right" w:leader="dot" w:pos="9629"/>
        </w:tabs>
        <w:jc w:val="both"/>
        <w:rPr>
          <w:rFonts w:asciiTheme="minorHAnsi" w:eastAsiaTheme="minorEastAsia" w:hAnsiTheme="minorHAnsi"/>
          <w:b w:val="0"/>
          <w:noProof/>
          <w:sz w:val="22"/>
          <w:lang w:val="sv-SE" w:eastAsia="sv-SE"/>
        </w:rPr>
      </w:pPr>
      <w:hyperlink w:anchor="_Toc79180120" w:history="1">
        <w:r w:rsidRPr="00FA3A2C">
          <w:rPr>
            <w:rStyle w:val="Hyperlink"/>
            <w:noProof/>
          </w:rPr>
          <w:t>Proposal 9</w:t>
        </w:r>
        <w:r>
          <w:rPr>
            <w:rFonts w:asciiTheme="minorHAnsi" w:eastAsiaTheme="minorEastAsia" w:hAnsiTheme="minorHAnsi"/>
            <w:b w:val="0"/>
            <w:noProof/>
            <w:sz w:val="22"/>
            <w:lang w:val="sv-SE" w:eastAsia="sv-SE"/>
          </w:rPr>
          <w:tab/>
        </w:r>
        <w:r w:rsidRPr="00FA3A2C">
          <w:rPr>
            <w:rStyle w:val="Hyperlink"/>
            <w:noProof/>
          </w:rPr>
          <w:t>To identify and address relevant interference scenarios, RAN1 should agree on:</w:t>
        </w:r>
      </w:hyperlink>
    </w:p>
    <w:p w14:paraId="78F129F4" w14:textId="46E9F40E" w:rsidR="00BC7F0D" w:rsidRDefault="00BC7F0D" w:rsidP="00BC7F0D">
      <w:pPr>
        <w:pStyle w:val="TableofFigures"/>
        <w:tabs>
          <w:tab w:val="right" w:leader="dot" w:pos="9629"/>
        </w:tabs>
        <w:jc w:val="both"/>
        <w:rPr>
          <w:rFonts w:asciiTheme="minorHAnsi" w:eastAsiaTheme="minorEastAsia" w:hAnsiTheme="minorHAnsi"/>
          <w:b w:val="0"/>
          <w:noProof/>
          <w:sz w:val="22"/>
          <w:lang w:val="sv-SE" w:eastAsia="sv-SE"/>
        </w:rPr>
      </w:pPr>
      <w:hyperlink w:anchor="_Toc79180121" w:history="1">
        <w:r w:rsidRPr="00FA3A2C">
          <w:rPr>
            <w:rStyle w:val="Hyperlink"/>
            <w:noProof/>
          </w:rPr>
          <w:t>a.</w:t>
        </w:r>
        <w:r>
          <w:rPr>
            <w:rFonts w:asciiTheme="minorHAnsi" w:eastAsiaTheme="minorEastAsia" w:hAnsiTheme="minorHAnsi"/>
            <w:b w:val="0"/>
            <w:noProof/>
            <w:sz w:val="22"/>
            <w:lang w:val="sv-SE" w:eastAsia="sv-SE"/>
          </w:rPr>
          <w:tab/>
        </w:r>
        <w:r w:rsidRPr="00FA3A2C">
          <w:rPr>
            <w:rStyle w:val="Hyperlink"/>
            <w:noProof/>
          </w:rPr>
          <w:t>Whether multiplexing Case-A and Case-B should take place in DL and/or UL slots for wide-area IAB-nodes,</w:t>
        </w:r>
      </w:hyperlink>
    </w:p>
    <w:p w14:paraId="56E36C07" w14:textId="1C335EB1" w:rsidR="00BC7F0D" w:rsidRDefault="00BC7F0D" w:rsidP="00BC7F0D">
      <w:pPr>
        <w:pStyle w:val="TableofFigures"/>
        <w:tabs>
          <w:tab w:val="right" w:leader="dot" w:pos="9629"/>
        </w:tabs>
        <w:jc w:val="both"/>
        <w:rPr>
          <w:rFonts w:asciiTheme="minorHAnsi" w:eastAsiaTheme="minorEastAsia" w:hAnsiTheme="minorHAnsi"/>
          <w:b w:val="0"/>
          <w:noProof/>
          <w:sz w:val="22"/>
          <w:lang w:val="sv-SE" w:eastAsia="sv-SE"/>
        </w:rPr>
      </w:pPr>
      <w:hyperlink w:anchor="_Toc79180122" w:history="1">
        <w:r w:rsidRPr="00FA3A2C">
          <w:rPr>
            <w:rStyle w:val="Hyperlink"/>
            <w:noProof/>
          </w:rPr>
          <w:t>b.</w:t>
        </w:r>
        <w:r>
          <w:rPr>
            <w:rFonts w:asciiTheme="minorHAnsi" w:eastAsiaTheme="minorEastAsia" w:hAnsiTheme="minorHAnsi"/>
            <w:b w:val="0"/>
            <w:noProof/>
            <w:sz w:val="22"/>
            <w:lang w:val="sv-SE" w:eastAsia="sv-SE"/>
          </w:rPr>
          <w:tab/>
        </w:r>
        <w:r w:rsidRPr="00FA3A2C">
          <w:rPr>
            <w:rStyle w:val="Hyperlink"/>
            <w:noProof/>
          </w:rPr>
          <w:t>Whether backhaul traffic is separated from or mixed with access traffic, and,</w:t>
        </w:r>
      </w:hyperlink>
    </w:p>
    <w:p w14:paraId="6DB42214" w14:textId="005B6749" w:rsidR="00BC7F0D" w:rsidRDefault="00BC7F0D" w:rsidP="00BC7F0D">
      <w:pPr>
        <w:pStyle w:val="TableofFigures"/>
        <w:tabs>
          <w:tab w:val="right" w:leader="dot" w:pos="9629"/>
        </w:tabs>
        <w:jc w:val="both"/>
        <w:rPr>
          <w:rFonts w:asciiTheme="minorHAnsi" w:eastAsiaTheme="minorEastAsia" w:hAnsiTheme="minorHAnsi"/>
          <w:b w:val="0"/>
          <w:noProof/>
          <w:sz w:val="22"/>
          <w:lang w:val="sv-SE" w:eastAsia="sv-SE"/>
        </w:rPr>
      </w:pPr>
      <w:hyperlink w:anchor="_Toc79180123" w:history="1">
        <w:r w:rsidRPr="00FA3A2C">
          <w:rPr>
            <w:rStyle w:val="Hyperlink"/>
            <w:noProof/>
          </w:rPr>
          <w:t>c.</w:t>
        </w:r>
        <w:r>
          <w:rPr>
            <w:rFonts w:asciiTheme="minorHAnsi" w:eastAsiaTheme="minorEastAsia" w:hAnsiTheme="minorHAnsi"/>
            <w:b w:val="0"/>
            <w:noProof/>
            <w:sz w:val="22"/>
            <w:lang w:val="sv-SE" w:eastAsia="sv-SE"/>
          </w:rPr>
          <w:tab/>
        </w:r>
        <w:r w:rsidRPr="00FA3A2C">
          <w:rPr>
            <w:rStyle w:val="Hyperlink"/>
            <w:noProof/>
          </w:rPr>
          <w:t>Whether the interference scenario is relevant for wide-area and/or local-area nodes.</w:t>
        </w:r>
      </w:hyperlink>
    </w:p>
    <w:p w14:paraId="328C5BCB" w14:textId="0EE7340A" w:rsidR="00BC7F0D" w:rsidRDefault="00BC7F0D" w:rsidP="00BC7F0D">
      <w:pPr>
        <w:pStyle w:val="TableofFigures"/>
        <w:tabs>
          <w:tab w:val="right" w:leader="dot" w:pos="9629"/>
        </w:tabs>
        <w:jc w:val="both"/>
        <w:rPr>
          <w:rFonts w:asciiTheme="minorHAnsi" w:eastAsiaTheme="minorEastAsia" w:hAnsiTheme="minorHAnsi"/>
          <w:b w:val="0"/>
          <w:noProof/>
          <w:sz w:val="22"/>
          <w:lang w:val="sv-SE" w:eastAsia="sv-SE"/>
        </w:rPr>
      </w:pPr>
      <w:hyperlink w:anchor="_Toc79180124" w:history="1">
        <w:r w:rsidRPr="00FA3A2C">
          <w:rPr>
            <w:rStyle w:val="Hyperlink"/>
            <w:noProof/>
          </w:rPr>
          <w:t>Proposal 10</w:t>
        </w:r>
        <w:r>
          <w:rPr>
            <w:rFonts w:asciiTheme="minorHAnsi" w:eastAsiaTheme="minorEastAsia" w:hAnsiTheme="minorHAnsi"/>
            <w:b w:val="0"/>
            <w:noProof/>
            <w:sz w:val="22"/>
            <w:lang w:val="sv-SE" w:eastAsia="sv-SE"/>
          </w:rPr>
          <w:tab/>
        </w:r>
        <w:r w:rsidRPr="00FA3A2C">
          <w:rPr>
            <w:rStyle w:val="Hyperlink"/>
            <w:noProof/>
          </w:rPr>
          <w:t>A wide-area IAB-DU only transmits in DL slots.</w:t>
        </w:r>
      </w:hyperlink>
    </w:p>
    <w:p w14:paraId="4DAA3E68" w14:textId="3E1303B0" w:rsidR="00BC7F0D" w:rsidRDefault="00BC7F0D" w:rsidP="00BC7F0D">
      <w:pPr>
        <w:pStyle w:val="TableofFigures"/>
        <w:tabs>
          <w:tab w:val="right" w:leader="dot" w:pos="9629"/>
        </w:tabs>
        <w:jc w:val="both"/>
        <w:rPr>
          <w:rFonts w:asciiTheme="minorHAnsi" w:eastAsiaTheme="minorEastAsia" w:hAnsiTheme="minorHAnsi"/>
          <w:b w:val="0"/>
          <w:noProof/>
          <w:sz w:val="22"/>
          <w:lang w:val="sv-SE" w:eastAsia="sv-SE"/>
        </w:rPr>
      </w:pPr>
      <w:hyperlink w:anchor="_Toc79180125" w:history="1">
        <w:r w:rsidRPr="00FA3A2C">
          <w:rPr>
            <w:rStyle w:val="Hyperlink"/>
            <w:noProof/>
          </w:rPr>
          <w:t>Proposal 11</w:t>
        </w:r>
        <w:r>
          <w:rPr>
            <w:rFonts w:asciiTheme="minorHAnsi" w:eastAsiaTheme="minorEastAsia" w:hAnsiTheme="minorHAnsi"/>
            <w:b w:val="0"/>
            <w:noProof/>
            <w:sz w:val="22"/>
            <w:lang w:val="sv-SE" w:eastAsia="sv-SE"/>
          </w:rPr>
          <w:tab/>
        </w:r>
        <w:r w:rsidRPr="00FA3A2C">
          <w:rPr>
            <w:rStyle w:val="Hyperlink"/>
            <w:noProof/>
          </w:rPr>
          <w:t>Backhaul UL traffic is assumed to be separated from access UL traffic.</w:t>
        </w:r>
      </w:hyperlink>
    </w:p>
    <w:p w14:paraId="1728F673" w14:textId="4ABD59BA" w:rsidR="00BC7F0D" w:rsidRDefault="00BC7F0D" w:rsidP="00BC7F0D">
      <w:pPr>
        <w:pStyle w:val="TableofFigures"/>
        <w:tabs>
          <w:tab w:val="right" w:leader="dot" w:pos="9629"/>
        </w:tabs>
        <w:jc w:val="both"/>
        <w:rPr>
          <w:rFonts w:asciiTheme="minorHAnsi" w:eastAsiaTheme="minorEastAsia" w:hAnsiTheme="minorHAnsi"/>
          <w:b w:val="0"/>
          <w:noProof/>
          <w:sz w:val="22"/>
          <w:lang w:val="sv-SE" w:eastAsia="sv-SE"/>
        </w:rPr>
      </w:pPr>
      <w:hyperlink w:anchor="_Toc79180126" w:history="1">
        <w:r w:rsidRPr="00FA3A2C">
          <w:rPr>
            <w:rStyle w:val="Hyperlink"/>
            <w:noProof/>
          </w:rPr>
          <w:t>Proposal 12</w:t>
        </w:r>
        <w:r>
          <w:rPr>
            <w:rFonts w:asciiTheme="minorHAnsi" w:eastAsiaTheme="minorEastAsia" w:hAnsiTheme="minorHAnsi"/>
            <w:b w:val="0"/>
            <w:noProof/>
            <w:sz w:val="22"/>
            <w:lang w:val="sv-SE" w:eastAsia="sv-SE"/>
          </w:rPr>
          <w:tab/>
        </w:r>
        <w:r w:rsidRPr="00FA3A2C">
          <w:rPr>
            <w:rStyle w:val="Hyperlink"/>
            <w:noProof/>
          </w:rPr>
          <w:t>Similar to gNBs, interference management between wide-area IABs operating backhaul links in DL slots is handled by network planning.</w:t>
        </w:r>
      </w:hyperlink>
    </w:p>
    <w:p w14:paraId="19834503" w14:textId="66CE8C05" w:rsidR="00BC7F0D" w:rsidRDefault="00BC7F0D" w:rsidP="00BC7F0D">
      <w:pPr>
        <w:pStyle w:val="TableofFigures"/>
        <w:tabs>
          <w:tab w:val="right" w:leader="dot" w:pos="9629"/>
        </w:tabs>
        <w:jc w:val="both"/>
        <w:rPr>
          <w:rFonts w:asciiTheme="minorHAnsi" w:eastAsiaTheme="minorEastAsia" w:hAnsiTheme="minorHAnsi"/>
          <w:b w:val="0"/>
          <w:noProof/>
          <w:sz w:val="22"/>
          <w:lang w:val="sv-SE" w:eastAsia="sv-SE"/>
        </w:rPr>
      </w:pPr>
      <w:hyperlink w:anchor="_Toc79180127" w:history="1">
        <w:r w:rsidRPr="00FA3A2C">
          <w:rPr>
            <w:rStyle w:val="Hyperlink"/>
            <w:noProof/>
          </w:rPr>
          <w:t>Proposal 13</w:t>
        </w:r>
        <w:r>
          <w:rPr>
            <w:rFonts w:asciiTheme="minorHAnsi" w:eastAsiaTheme="minorEastAsia" w:hAnsiTheme="minorHAnsi"/>
            <w:b w:val="0"/>
            <w:noProof/>
            <w:sz w:val="22"/>
            <w:lang w:val="sv-SE" w:eastAsia="sv-SE"/>
          </w:rPr>
          <w:tab/>
        </w:r>
        <w:r w:rsidRPr="00FA3A2C">
          <w:rPr>
            <w:rStyle w:val="Hyperlink"/>
            <w:noProof/>
            <w:lang w:eastAsia="ja-JP"/>
          </w:rPr>
          <w:t>DU-to-DU interference measurement and reporting can be handled by implementation, and no specification is required.</w:t>
        </w:r>
      </w:hyperlink>
    </w:p>
    <w:p w14:paraId="5BFB5682" w14:textId="1E9C30F6" w:rsidR="00BC7F0D" w:rsidRDefault="00BC7F0D" w:rsidP="00BC7F0D">
      <w:pPr>
        <w:pStyle w:val="TableofFigures"/>
        <w:tabs>
          <w:tab w:val="right" w:leader="dot" w:pos="9629"/>
        </w:tabs>
        <w:jc w:val="both"/>
        <w:rPr>
          <w:rFonts w:asciiTheme="minorHAnsi" w:eastAsiaTheme="minorEastAsia" w:hAnsiTheme="minorHAnsi"/>
          <w:b w:val="0"/>
          <w:noProof/>
          <w:sz w:val="22"/>
          <w:lang w:val="sv-SE" w:eastAsia="sv-SE"/>
        </w:rPr>
      </w:pPr>
      <w:hyperlink w:anchor="_Toc79180128" w:history="1">
        <w:r w:rsidRPr="00FA3A2C">
          <w:rPr>
            <w:rStyle w:val="Hyperlink"/>
            <w:noProof/>
          </w:rPr>
          <w:t>Proposal 14</w:t>
        </w:r>
        <w:r>
          <w:rPr>
            <w:rFonts w:asciiTheme="minorHAnsi" w:eastAsiaTheme="minorEastAsia" w:hAnsiTheme="minorHAnsi"/>
            <w:b w:val="0"/>
            <w:noProof/>
            <w:sz w:val="22"/>
            <w:lang w:val="sv-SE" w:eastAsia="sv-SE"/>
          </w:rPr>
          <w:tab/>
        </w:r>
        <w:r w:rsidRPr="00FA3A2C">
          <w:rPr>
            <w:rStyle w:val="Hyperlink"/>
            <w:noProof/>
            <w:lang w:eastAsia="ja-JP"/>
          </w:rPr>
          <w:t>Since some configurations do not require specification of additional interference schemes, any specification of additional interference measurement is optional.</w:t>
        </w:r>
      </w:hyperlink>
    </w:p>
    <w:p w14:paraId="5432B1EF" w14:textId="03E47F00" w:rsidR="00BC7F0D" w:rsidRDefault="00BC7F0D" w:rsidP="00BC7F0D">
      <w:pPr>
        <w:pStyle w:val="TableofFigures"/>
        <w:tabs>
          <w:tab w:val="right" w:leader="dot" w:pos="9629"/>
        </w:tabs>
        <w:jc w:val="both"/>
        <w:rPr>
          <w:rFonts w:asciiTheme="minorHAnsi" w:eastAsiaTheme="minorEastAsia" w:hAnsiTheme="minorHAnsi"/>
          <w:b w:val="0"/>
          <w:noProof/>
          <w:sz w:val="22"/>
          <w:lang w:val="sv-SE" w:eastAsia="sv-SE"/>
        </w:rPr>
      </w:pPr>
      <w:hyperlink w:anchor="_Toc79180129" w:history="1">
        <w:r w:rsidRPr="00FA3A2C">
          <w:rPr>
            <w:rStyle w:val="Hyperlink"/>
            <w:noProof/>
            <w:lang w:eastAsia="ja-JP"/>
          </w:rPr>
          <w:t>Proposal 15</w:t>
        </w:r>
        <w:r>
          <w:rPr>
            <w:rFonts w:asciiTheme="minorHAnsi" w:eastAsiaTheme="minorEastAsia" w:hAnsiTheme="minorHAnsi"/>
            <w:b w:val="0"/>
            <w:noProof/>
            <w:sz w:val="22"/>
            <w:lang w:val="sv-SE" w:eastAsia="sv-SE"/>
          </w:rPr>
          <w:tab/>
        </w:r>
        <w:r w:rsidRPr="00FA3A2C">
          <w:rPr>
            <w:rStyle w:val="Hyperlink"/>
            <w:noProof/>
            <w:lang w:eastAsia="ja-JP"/>
          </w:rPr>
          <w:t>The exchange of IAB-DU H/S/NA resource configuration information among neighboring IAB-nodes/IAB-donors is not supported.</w:t>
        </w:r>
      </w:hyperlink>
    </w:p>
    <w:p w14:paraId="37E10F91" w14:textId="53700CDF" w:rsidR="00BC7F0D" w:rsidRDefault="00BC7F0D" w:rsidP="00BC7F0D">
      <w:pPr>
        <w:pStyle w:val="TableofFigures"/>
        <w:tabs>
          <w:tab w:val="right" w:leader="dot" w:pos="9629"/>
        </w:tabs>
        <w:jc w:val="both"/>
        <w:rPr>
          <w:rFonts w:asciiTheme="minorHAnsi" w:eastAsiaTheme="minorEastAsia" w:hAnsiTheme="minorHAnsi"/>
          <w:b w:val="0"/>
          <w:noProof/>
          <w:sz w:val="22"/>
          <w:lang w:val="sv-SE" w:eastAsia="sv-SE"/>
        </w:rPr>
      </w:pPr>
      <w:hyperlink w:anchor="_Toc79180130" w:history="1">
        <w:r w:rsidRPr="00FA3A2C">
          <w:rPr>
            <w:rStyle w:val="Hyperlink"/>
            <w:noProof/>
          </w:rPr>
          <w:t>Proposal 16</w:t>
        </w:r>
        <w:r>
          <w:rPr>
            <w:rFonts w:asciiTheme="minorHAnsi" w:eastAsiaTheme="minorEastAsia" w:hAnsiTheme="minorHAnsi"/>
            <w:b w:val="0"/>
            <w:noProof/>
            <w:sz w:val="22"/>
            <w:lang w:val="sv-SE" w:eastAsia="sv-SE"/>
          </w:rPr>
          <w:tab/>
        </w:r>
        <w:r w:rsidRPr="00FA3A2C">
          <w:rPr>
            <w:rStyle w:val="Hyperlink"/>
            <w:noProof/>
          </w:rPr>
          <w:t>The IAB node indicates a desired dynamic range for simultaneous operation to its parent IAB node(s).</w:t>
        </w:r>
      </w:hyperlink>
    </w:p>
    <w:p w14:paraId="501EFD2D" w14:textId="0779AD6D" w:rsidR="00BC7F0D" w:rsidRDefault="00BC7F0D" w:rsidP="00BC7F0D">
      <w:pPr>
        <w:pStyle w:val="TableofFigures"/>
        <w:tabs>
          <w:tab w:val="right" w:leader="dot" w:pos="9629"/>
        </w:tabs>
        <w:jc w:val="both"/>
        <w:rPr>
          <w:rFonts w:asciiTheme="minorHAnsi" w:eastAsiaTheme="minorEastAsia" w:hAnsiTheme="minorHAnsi"/>
          <w:b w:val="0"/>
          <w:noProof/>
          <w:sz w:val="22"/>
          <w:lang w:val="sv-SE" w:eastAsia="sv-SE"/>
        </w:rPr>
      </w:pPr>
      <w:hyperlink w:anchor="_Toc79180131" w:history="1">
        <w:r w:rsidRPr="00FA3A2C">
          <w:rPr>
            <w:rStyle w:val="Hyperlink"/>
            <w:noProof/>
          </w:rPr>
          <w:t>Proposal 17</w:t>
        </w:r>
        <w:r>
          <w:rPr>
            <w:rFonts w:asciiTheme="minorHAnsi" w:eastAsiaTheme="minorEastAsia" w:hAnsiTheme="minorHAnsi"/>
            <w:b w:val="0"/>
            <w:noProof/>
            <w:sz w:val="22"/>
            <w:lang w:val="sv-SE" w:eastAsia="sv-SE"/>
          </w:rPr>
          <w:tab/>
        </w:r>
        <w:r w:rsidRPr="00FA3A2C">
          <w:rPr>
            <w:rStyle w:val="Hyperlink"/>
            <w:noProof/>
          </w:rPr>
          <w:t>Introduce indication of access and backhaul slots to allow for DL power control differentiation towards child IAB nodes without affecting operation of legacy UEs.</w:t>
        </w:r>
      </w:hyperlink>
    </w:p>
    <w:p w14:paraId="4FE37679" w14:textId="08B295E8" w:rsidR="00BC7F0D" w:rsidRDefault="00BC7F0D" w:rsidP="00BC7F0D">
      <w:pPr>
        <w:pStyle w:val="TableofFigures"/>
        <w:tabs>
          <w:tab w:val="right" w:leader="dot" w:pos="9629"/>
        </w:tabs>
        <w:jc w:val="both"/>
        <w:rPr>
          <w:rFonts w:asciiTheme="minorHAnsi" w:eastAsiaTheme="minorEastAsia" w:hAnsiTheme="minorHAnsi"/>
          <w:b w:val="0"/>
          <w:noProof/>
          <w:sz w:val="22"/>
          <w:lang w:val="sv-SE" w:eastAsia="sv-SE"/>
        </w:rPr>
      </w:pPr>
      <w:hyperlink w:anchor="_Toc79180132" w:history="1">
        <w:r w:rsidRPr="00FA3A2C">
          <w:rPr>
            <w:rStyle w:val="Hyperlink"/>
            <w:noProof/>
          </w:rPr>
          <w:t>Proposal 18</w:t>
        </w:r>
        <w:r>
          <w:rPr>
            <w:rFonts w:asciiTheme="minorHAnsi" w:eastAsiaTheme="minorEastAsia" w:hAnsiTheme="minorHAnsi"/>
            <w:b w:val="0"/>
            <w:noProof/>
            <w:sz w:val="22"/>
            <w:lang w:val="sv-SE" w:eastAsia="sv-SE"/>
          </w:rPr>
          <w:tab/>
        </w:r>
        <w:r w:rsidRPr="00FA3A2C">
          <w:rPr>
            <w:rStyle w:val="Hyperlink"/>
            <w:noProof/>
          </w:rPr>
          <w:t>DL power control is restricted to slots in which the receiving node is operating in Case-7 timing.</w:t>
        </w:r>
      </w:hyperlink>
    </w:p>
    <w:p w14:paraId="6444D29A" w14:textId="607D82CD" w:rsidR="00BC7F0D" w:rsidRDefault="00BC7F0D" w:rsidP="00BC7F0D">
      <w:pPr>
        <w:pStyle w:val="TableofFigures"/>
        <w:tabs>
          <w:tab w:val="right" w:leader="dot" w:pos="9629"/>
        </w:tabs>
        <w:jc w:val="both"/>
        <w:rPr>
          <w:rFonts w:asciiTheme="minorHAnsi" w:eastAsiaTheme="minorEastAsia" w:hAnsiTheme="minorHAnsi"/>
          <w:b w:val="0"/>
          <w:noProof/>
          <w:sz w:val="22"/>
          <w:lang w:val="sv-SE" w:eastAsia="sv-SE"/>
        </w:rPr>
      </w:pPr>
      <w:hyperlink w:anchor="_Toc79180133" w:history="1">
        <w:r w:rsidRPr="00FA3A2C">
          <w:rPr>
            <w:rStyle w:val="Hyperlink"/>
            <w:noProof/>
          </w:rPr>
          <w:t>Proposal 19</w:t>
        </w:r>
        <w:r>
          <w:rPr>
            <w:rFonts w:asciiTheme="minorHAnsi" w:eastAsiaTheme="minorEastAsia" w:hAnsiTheme="minorHAnsi"/>
            <w:b w:val="0"/>
            <w:noProof/>
            <w:sz w:val="22"/>
            <w:lang w:val="sv-SE" w:eastAsia="sv-SE"/>
          </w:rPr>
          <w:tab/>
        </w:r>
        <w:r w:rsidRPr="00FA3A2C">
          <w:rPr>
            <w:rStyle w:val="Hyperlink"/>
            <w:noProof/>
          </w:rPr>
          <w:t xml:space="preserve">For DL power control, the IAB node may request a </w:t>
        </w:r>
        <w:r w:rsidRPr="00FA3A2C">
          <w:rPr>
            <w:rStyle w:val="Hyperlink"/>
            <w:i/>
            <w:iCs/>
            <w:noProof/>
          </w:rPr>
          <w:t>preferred power adjustment</w:t>
        </w:r>
        <w:r w:rsidRPr="00FA3A2C">
          <w:rPr>
            <w:rStyle w:val="Hyperlink"/>
            <w:noProof/>
          </w:rPr>
          <w:t xml:space="preserve"> from its parent IAB-DU. Value(s) for the power adjustment are FFS.</w:t>
        </w:r>
      </w:hyperlink>
    </w:p>
    <w:p w14:paraId="3F504532" w14:textId="5ABC2F21" w:rsidR="00BC7F0D" w:rsidRDefault="00BC7F0D" w:rsidP="00BC7F0D">
      <w:pPr>
        <w:pStyle w:val="TableofFigures"/>
        <w:tabs>
          <w:tab w:val="right" w:leader="dot" w:pos="9629"/>
        </w:tabs>
        <w:jc w:val="both"/>
        <w:rPr>
          <w:rFonts w:asciiTheme="minorHAnsi" w:eastAsiaTheme="minorEastAsia" w:hAnsiTheme="minorHAnsi"/>
          <w:b w:val="0"/>
          <w:noProof/>
          <w:sz w:val="22"/>
          <w:lang w:val="sv-SE" w:eastAsia="sv-SE"/>
        </w:rPr>
      </w:pPr>
      <w:hyperlink w:anchor="_Toc79180134" w:history="1">
        <w:r w:rsidRPr="00FA3A2C">
          <w:rPr>
            <w:rStyle w:val="Hyperlink"/>
            <w:noProof/>
          </w:rPr>
          <w:t>Proposal 20</w:t>
        </w:r>
        <w:r>
          <w:rPr>
            <w:rFonts w:asciiTheme="minorHAnsi" w:eastAsiaTheme="minorEastAsia" w:hAnsiTheme="minorHAnsi"/>
            <w:b w:val="0"/>
            <w:noProof/>
            <w:sz w:val="22"/>
            <w:lang w:val="sv-SE" w:eastAsia="sv-SE"/>
          </w:rPr>
          <w:tab/>
        </w:r>
        <w:r w:rsidRPr="00FA3A2C">
          <w:rPr>
            <w:rStyle w:val="Hyperlink"/>
            <w:noProof/>
          </w:rPr>
          <w:t>The parent IAB node signals an ACK or NACK in response to the received DL power allocation request.</w:t>
        </w:r>
      </w:hyperlink>
    </w:p>
    <w:p w14:paraId="057B748C" w14:textId="55E81244" w:rsidR="00BC7F0D" w:rsidRDefault="00BC7F0D" w:rsidP="00BC7F0D">
      <w:pPr>
        <w:pStyle w:val="TableofFigures"/>
        <w:tabs>
          <w:tab w:val="right" w:leader="dot" w:pos="9629"/>
        </w:tabs>
        <w:jc w:val="both"/>
        <w:rPr>
          <w:rFonts w:asciiTheme="minorHAnsi" w:eastAsiaTheme="minorEastAsia" w:hAnsiTheme="minorHAnsi"/>
          <w:b w:val="0"/>
          <w:noProof/>
          <w:sz w:val="22"/>
          <w:lang w:val="sv-SE" w:eastAsia="sv-SE"/>
        </w:rPr>
      </w:pPr>
      <w:hyperlink w:anchor="_Toc79180135" w:history="1">
        <w:r w:rsidRPr="00FA3A2C">
          <w:rPr>
            <w:rStyle w:val="Hyperlink"/>
            <w:noProof/>
          </w:rPr>
          <w:t>Proposal 21</w:t>
        </w:r>
        <w:r>
          <w:rPr>
            <w:rFonts w:asciiTheme="minorHAnsi" w:eastAsiaTheme="minorEastAsia" w:hAnsiTheme="minorHAnsi"/>
            <w:b w:val="0"/>
            <w:noProof/>
            <w:sz w:val="22"/>
            <w:lang w:val="sv-SE" w:eastAsia="sv-SE"/>
          </w:rPr>
          <w:tab/>
        </w:r>
        <w:r w:rsidRPr="00FA3A2C">
          <w:rPr>
            <w:rStyle w:val="Hyperlink"/>
            <w:noProof/>
          </w:rPr>
          <w:t>A DL power control request is limited in duration and must be renewed periodically. The duration of a DL power control grant is FFS.</w:t>
        </w:r>
      </w:hyperlink>
    </w:p>
    <w:p w14:paraId="20BAE1DB" w14:textId="6C32C91E" w:rsidR="006E1C82" w:rsidRPr="009F2042" w:rsidRDefault="006E1C82" w:rsidP="00BC7F0D">
      <w:pPr>
        <w:pStyle w:val="BodyText"/>
        <w:rPr>
          <w:b/>
        </w:rPr>
      </w:pPr>
      <w:r w:rsidRPr="009F2042">
        <w:rPr>
          <w:b/>
        </w:rPr>
        <w:lastRenderedPageBreak/>
        <w:fldChar w:fldCharType="end"/>
      </w:r>
    </w:p>
    <w:p w14:paraId="3C775E22" w14:textId="77777777" w:rsidR="00F507D1" w:rsidRPr="009F2042" w:rsidRDefault="00F507D1" w:rsidP="004C330D">
      <w:pPr>
        <w:pStyle w:val="Heading1"/>
        <w:jc w:val="both"/>
        <w:rPr>
          <w:lang w:val="en-US"/>
        </w:rPr>
      </w:pPr>
      <w:bookmarkStart w:id="89" w:name="_In-sequence_SDU_delivery"/>
      <w:bookmarkEnd w:id="89"/>
      <w:r w:rsidRPr="009F2042">
        <w:rPr>
          <w:lang w:val="en-US"/>
        </w:rPr>
        <w:t>References</w:t>
      </w:r>
    </w:p>
    <w:p w14:paraId="0F947DA5" w14:textId="14EEC29C" w:rsidR="00C94C55" w:rsidRPr="009F2042" w:rsidRDefault="0099743C" w:rsidP="00ED6838">
      <w:pPr>
        <w:pStyle w:val="Reference"/>
      </w:pPr>
      <w:bookmarkStart w:id="90" w:name="_Ref77157032"/>
      <w:bookmarkStart w:id="91" w:name="_Ref174151459"/>
      <w:bookmarkStart w:id="92" w:name="_Ref189809556"/>
      <w:r w:rsidRPr="009F2042">
        <w:t>RP-211548</w:t>
      </w:r>
      <w:r w:rsidR="005F3025" w:rsidRPr="009F2042">
        <w:t xml:space="preserve">, </w:t>
      </w:r>
      <w:r w:rsidRPr="009F2042">
        <w:t>“New WID on Enhancements to Integrated Access and Backhaul,”</w:t>
      </w:r>
      <w:r w:rsidR="005F3025" w:rsidRPr="009F2042">
        <w:t xml:space="preserve"> </w:t>
      </w:r>
      <w:r w:rsidRPr="009F2042">
        <w:t>Qualcomm</w:t>
      </w:r>
      <w:r w:rsidR="005F3025" w:rsidRPr="009F2042">
        <w:t xml:space="preserve">, </w:t>
      </w:r>
      <w:r w:rsidRPr="009F2042">
        <w:t>RAN #92e</w:t>
      </w:r>
      <w:r w:rsidR="005F3025" w:rsidRPr="009F2042">
        <w:t xml:space="preserve">, </w:t>
      </w:r>
      <w:r w:rsidRPr="009F2042">
        <w:t>June 2021.</w:t>
      </w:r>
      <w:bookmarkEnd w:id="90"/>
    </w:p>
    <w:p w14:paraId="4D5B30AF" w14:textId="48E6013F" w:rsidR="00C94C55" w:rsidRPr="009F2042" w:rsidRDefault="00C94C55" w:rsidP="00ED6838">
      <w:pPr>
        <w:pStyle w:val="Reference"/>
      </w:pPr>
      <w:bookmarkStart w:id="93" w:name="_Ref77157282"/>
      <w:r w:rsidRPr="009F2042">
        <w:t>R1-2</w:t>
      </w:r>
      <w:r w:rsidR="0068382C" w:rsidRPr="009F2042">
        <w:t>108107</w:t>
      </w:r>
      <w:r w:rsidRPr="009F2042">
        <w:t>, “Resource multiplexing and dual connectivity in enhanced IAB,” Ericsson, RAN1 #106-e, August 2021.</w:t>
      </w:r>
      <w:bookmarkEnd w:id="93"/>
    </w:p>
    <w:p w14:paraId="4F94B56D" w14:textId="2321B84F" w:rsidR="00FC37AD" w:rsidRPr="009F2042" w:rsidRDefault="00FC37AD" w:rsidP="00ED6838">
      <w:pPr>
        <w:pStyle w:val="Reference"/>
      </w:pPr>
      <w:bookmarkStart w:id="94" w:name="_Ref77157742"/>
      <w:r w:rsidRPr="009F2042">
        <w:t>Chair's Notes, 3GPP, RAN1 #105-e, May 2021.</w:t>
      </w:r>
      <w:bookmarkEnd w:id="94"/>
    </w:p>
    <w:p w14:paraId="5FA874E8" w14:textId="3D8C1DE6" w:rsidR="00847B37" w:rsidRPr="009F2042" w:rsidRDefault="00847B37" w:rsidP="00ED6838">
      <w:pPr>
        <w:pStyle w:val="Reference"/>
      </w:pPr>
      <w:bookmarkStart w:id="95" w:name="_Ref77166368"/>
      <w:r w:rsidRPr="009F2042">
        <w:t>Chairman's Notes, 3GPP, RAN1 #104-e, February 2021.</w:t>
      </w:r>
      <w:bookmarkEnd w:id="95"/>
    </w:p>
    <w:p w14:paraId="4ACD9700" w14:textId="38658319" w:rsidR="00B67D86" w:rsidRPr="009F2042" w:rsidRDefault="00B67D86" w:rsidP="00ED6838">
      <w:pPr>
        <w:pStyle w:val="Reference"/>
      </w:pPr>
      <w:bookmarkStart w:id="96" w:name="_Ref79015175"/>
      <w:bookmarkEnd w:id="91"/>
      <w:bookmarkEnd w:id="92"/>
      <w:r w:rsidRPr="009F2042">
        <w:rPr>
          <w:rFonts w:cstheme="minorHAnsi"/>
        </w:rPr>
        <w:t>TS 38.174, “NR; Integrated Access and Backhaul radio transmission and reception,” 3GPP, V.16.</w:t>
      </w:r>
      <w:r w:rsidR="000C22B5" w:rsidRPr="009F2042">
        <w:rPr>
          <w:rFonts w:cstheme="minorHAnsi"/>
        </w:rPr>
        <w:t>3</w:t>
      </w:r>
      <w:r w:rsidRPr="009F2042">
        <w:rPr>
          <w:rFonts w:cstheme="minorHAnsi"/>
        </w:rPr>
        <w:t xml:space="preserve">.0, </w:t>
      </w:r>
      <w:r w:rsidR="000C22B5" w:rsidRPr="009F2042">
        <w:rPr>
          <w:rFonts w:cstheme="minorHAnsi"/>
        </w:rPr>
        <w:t>Ju</w:t>
      </w:r>
      <w:r w:rsidR="004B155E" w:rsidRPr="009F2042">
        <w:rPr>
          <w:rFonts w:cstheme="minorHAnsi"/>
        </w:rPr>
        <w:t>ne</w:t>
      </w:r>
      <w:r w:rsidRPr="009F2042">
        <w:rPr>
          <w:rFonts w:cstheme="minorHAnsi"/>
        </w:rPr>
        <w:t xml:space="preserve"> 202</w:t>
      </w:r>
      <w:r w:rsidR="000C22B5" w:rsidRPr="009F2042">
        <w:rPr>
          <w:rFonts w:cstheme="minorHAnsi"/>
        </w:rPr>
        <w:t>1</w:t>
      </w:r>
      <w:r w:rsidRPr="009F2042">
        <w:rPr>
          <w:rFonts w:cstheme="minorHAnsi"/>
        </w:rPr>
        <w:t>.</w:t>
      </w:r>
      <w:bookmarkEnd w:id="96"/>
    </w:p>
    <w:p w14:paraId="0C53FD9D" w14:textId="1E6DAD39" w:rsidR="00E510A1" w:rsidRPr="009F2042" w:rsidRDefault="00E510A1" w:rsidP="00ED6838">
      <w:pPr>
        <w:pStyle w:val="Reference"/>
      </w:pPr>
      <w:bookmarkStart w:id="97" w:name="_Ref79153754"/>
      <w:r w:rsidRPr="009F2042">
        <w:rPr>
          <w:rFonts w:cstheme="minorHAnsi"/>
        </w:rPr>
        <w:t xml:space="preserve">TS 38.213, </w:t>
      </w:r>
      <w:r w:rsidR="004B155E" w:rsidRPr="009F2042">
        <w:rPr>
          <w:rFonts w:cstheme="minorHAnsi"/>
        </w:rPr>
        <w:t>“NR; Physical layer procedures for control,” 3GPP, V.16.6.0, June 2021.</w:t>
      </w:r>
      <w:bookmarkEnd w:id="97"/>
    </w:p>
    <w:p w14:paraId="7EB6392B" w14:textId="4ED2F27A" w:rsidR="00370026" w:rsidRPr="009F2042" w:rsidRDefault="00370026" w:rsidP="00ED6838">
      <w:pPr>
        <w:pStyle w:val="Reference"/>
      </w:pPr>
      <w:bookmarkStart w:id="98" w:name="_Ref79015341"/>
      <w:r w:rsidRPr="009F2042">
        <w:rPr>
          <w:rStyle w:val="CommentReference"/>
        </w:rPr>
        <w:t/>
      </w:r>
      <w:r w:rsidRPr="009F2042">
        <w:rPr>
          <w:szCs w:val="20"/>
        </w:rPr>
        <w:t xml:space="preserve">R1-2101696, </w:t>
      </w:r>
      <w:r w:rsidR="00935180" w:rsidRPr="009F2042">
        <w:rPr>
          <w:szCs w:val="20"/>
        </w:rPr>
        <w:t>“</w:t>
      </w:r>
      <w:r w:rsidRPr="009F2042">
        <w:t>Timing, CLI and power control in enhanced IAB</w:t>
      </w:r>
      <w:r w:rsidR="00935180" w:rsidRPr="009F2042">
        <w:t>”</w:t>
      </w:r>
      <w:r w:rsidRPr="009F2042">
        <w:t xml:space="preserve">, Ericsson, </w:t>
      </w:r>
      <w:r w:rsidR="00935180" w:rsidRPr="009F2042">
        <w:t>RAN1</w:t>
      </w:r>
      <w:r w:rsidRPr="009F2042">
        <w:t xml:space="preserve"> #104-e, January 2021.</w:t>
      </w:r>
      <w:bookmarkEnd w:id="98"/>
    </w:p>
    <w:p w14:paraId="2F662214" w14:textId="29632CA0" w:rsidR="00703F48" w:rsidRPr="009F2042" w:rsidRDefault="00703F48" w:rsidP="00ED6838">
      <w:pPr>
        <w:pStyle w:val="Reference"/>
      </w:pPr>
      <w:bookmarkStart w:id="99" w:name="_Ref79015443"/>
      <w:r w:rsidRPr="009F2042">
        <w:rPr>
          <w:szCs w:val="20"/>
        </w:rPr>
        <w:t xml:space="preserve">TR 38.828, </w:t>
      </w:r>
      <w:r w:rsidR="000C22B5" w:rsidRPr="009F2042">
        <w:rPr>
          <w:szCs w:val="20"/>
        </w:rPr>
        <w:t>“</w:t>
      </w:r>
      <w:r w:rsidRPr="009F2042">
        <w:t>Cross Link Interference (CLI) handling and Remote Interference Management (RIM) for NR</w:t>
      </w:r>
      <w:r w:rsidR="000C22B5" w:rsidRPr="009F2042">
        <w:t>”</w:t>
      </w:r>
      <w:r w:rsidRPr="009F2042">
        <w:t xml:space="preserve">, </w:t>
      </w:r>
      <w:r w:rsidR="000C22B5" w:rsidRPr="009F2042">
        <w:t>3GPP</w:t>
      </w:r>
      <w:r w:rsidR="003669EF" w:rsidRPr="009F2042">
        <w:t>,</w:t>
      </w:r>
      <w:r w:rsidR="000C22B5" w:rsidRPr="009F2042">
        <w:t xml:space="preserve"> V.16.1.0, </w:t>
      </w:r>
      <w:r w:rsidRPr="009F2042">
        <w:t>Sept</w:t>
      </w:r>
      <w:r w:rsidR="000C22B5" w:rsidRPr="009F2042">
        <w:t>ember</w:t>
      </w:r>
      <w:r w:rsidRPr="009F2042">
        <w:t xml:space="preserve"> 2019.</w:t>
      </w:r>
      <w:bookmarkEnd w:id="99"/>
    </w:p>
    <w:p w14:paraId="100F2F04" w14:textId="0B30228C" w:rsidR="0068382C" w:rsidRPr="009F2042" w:rsidRDefault="0068382C" w:rsidP="00ED6838">
      <w:pPr>
        <w:pStyle w:val="Reference"/>
      </w:pPr>
      <w:bookmarkStart w:id="100" w:name="_Ref79141709"/>
      <w:r w:rsidRPr="009F2042">
        <w:rPr>
          <w:lang w:eastAsia="ja-JP"/>
        </w:rPr>
        <w:t xml:space="preserve">R1-1911807, “Reply LS on </w:t>
      </w:r>
      <w:proofErr w:type="spellStart"/>
      <w:r w:rsidRPr="009F2042">
        <w:rPr>
          <w:lang w:eastAsia="ja-JP"/>
        </w:rPr>
        <w:t>T_delta</w:t>
      </w:r>
      <w:proofErr w:type="spellEnd"/>
      <w:r w:rsidRPr="009F2042">
        <w:rPr>
          <w:lang w:eastAsia="ja-JP"/>
        </w:rPr>
        <w:t xml:space="preserve"> for IAB OTA timing alignment”, RAN4, RAN1 #99, November 2019</w:t>
      </w:r>
      <w:bookmarkEnd w:id="100"/>
      <w:r w:rsidR="0043224A" w:rsidRPr="009F2042">
        <w:rPr>
          <w:lang w:eastAsia="ja-JP"/>
        </w:rPr>
        <w:t>.</w:t>
      </w:r>
    </w:p>
    <w:p w14:paraId="2062A1E2" w14:textId="27CE890A" w:rsidR="00D6080D" w:rsidRPr="009F2042" w:rsidRDefault="00D6080D" w:rsidP="00ED6838">
      <w:pPr>
        <w:pStyle w:val="Reference"/>
      </w:pPr>
      <w:bookmarkStart w:id="101" w:name="_Ref79142183"/>
      <w:r w:rsidRPr="009F2042">
        <w:rPr>
          <w:lang w:eastAsia="ja-JP"/>
        </w:rPr>
        <w:t xml:space="preserve">TS 38.321, “Medium Access Control (MAC) protocol specification”, </w:t>
      </w:r>
      <w:r w:rsidR="00722625" w:rsidRPr="009F2042">
        <w:rPr>
          <w:lang w:eastAsia="ja-JP"/>
        </w:rPr>
        <w:t xml:space="preserve">3GPP, </w:t>
      </w:r>
      <w:r w:rsidRPr="009F2042">
        <w:rPr>
          <w:lang w:eastAsia="ja-JP"/>
        </w:rPr>
        <w:t>V16.5.0, June 2021</w:t>
      </w:r>
      <w:bookmarkEnd w:id="101"/>
      <w:r w:rsidR="0043224A" w:rsidRPr="009F2042">
        <w:rPr>
          <w:lang w:eastAsia="ja-JP"/>
        </w:rPr>
        <w:t>.</w:t>
      </w:r>
    </w:p>
    <w:p w14:paraId="5AB76EF3" w14:textId="0D4A46E9" w:rsidR="00BA63BB" w:rsidRPr="009F2042" w:rsidRDefault="00BA63BB" w:rsidP="00ED6838">
      <w:pPr>
        <w:pStyle w:val="Reference"/>
      </w:pPr>
      <w:bookmarkStart w:id="102" w:name="_Ref79142665"/>
      <w:r w:rsidRPr="009F2042">
        <w:t>R1-2105839, “Timing, interference management and power control in enhanced IAB”, Ericsson, RAN1 #105e, May 2021</w:t>
      </w:r>
      <w:bookmarkEnd w:id="102"/>
      <w:r w:rsidR="0043224A" w:rsidRPr="009F2042">
        <w:t>.</w:t>
      </w:r>
    </w:p>
    <w:p w14:paraId="5E4D09D0" w14:textId="77777777" w:rsidR="003A7EF3" w:rsidRPr="009F2042" w:rsidRDefault="003A7EF3" w:rsidP="00ED6838">
      <w:pPr>
        <w:pStyle w:val="BodyText"/>
      </w:pPr>
    </w:p>
    <w:sectPr w:rsidR="003A7EF3" w:rsidRPr="009F2042"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CC93A3" w14:textId="77777777" w:rsidR="001C74F5" w:rsidRDefault="001C74F5">
      <w:r>
        <w:separator/>
      </w:r>
    </w:p>
  </w:endnote>
  <w:endnote w:type="continuationSeparator" w:id="0">
    <w:p w14:paraId="737E3572" w14:textId="77777777" w:rsidR="001C74F5" w:rsidRDefault="001C74F5">
      <w:r>
        <w:continuationSeparator/>
      </w:r>
    </w:p>
  </w:endnote>
  <w:endnote w:type="continuationNotice" w:id="1">
    <w:p w14:paraId="5371313F" w14:textId="77777777" w:rsidR="001C74F5" w:rsidRDefault="001C74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altName w:val="DejaVu Sans"/>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013E85" w14:textId="77777777" w:rsidR="00475ADD" w:rsidRDefault="00475AD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ED08A7" w14:textId="77777777" w:rsidR="001C74F5" w:rsidRDefault="001C74F5">
      <w:r>
        <w:separator/>
      </w:r>
    </w:p>
  </w:footnote>
  <w:footnote w:type="continuationSeparator" w:id="0">
    <w:p w14:paraId="5331CB66" w14:textId="77777777" w:rsidR="001C74F5" w:rsidRDefault="001C74F5">
      <w:r>
        <w:continuationSeparator/>
      </w:r>
    </w:p>
  </w:footnote>
  <w:footnote w:type="continuationNotice" w:id="1">
    <w:p w14:paraId="2F5332DC" w14:textId="77777777" w:rsidR="001C74F5" w:rsidRDefault="001C74F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B3C6D0" w14:textId="77777777" w:rsidR="00475ADD" w:rsidRDefault="00475AD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A84EAB"/>
    <w:multiLevelType w:val="hybridMultilevel"/>
    <w:tmpl w:val="7C8698AC"/>
    <w:lvl w:ilvl="0" w:tplc="B9F0BEA6">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E90DE3"/>
    <w:multiLevelType w:val="hybridMultilevel"/>
    <w:tmpl w:val="C1128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C55459"/>
    <w:multiLevelType w:val="hybridMultilevel"/>
    <w:tmpl w:val="69E27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41B64B0"/>
    <w:multiLevelType w:val="hybridMultilevel"/>
    <w:tmpl w:val="D880267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56F0FCB"/>
    <w:multiLevelType w:val="hybridMultilevel"/>
    <w:tmpl w:val="359AE4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EB3108"/>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AA46647"/>
    <w:multiLevelType w:val="hybridMultilevel"/>
    <w:tmpl w:val="CF82620C"/>
    <w:lvl w:ilvl="0" w:tplc="C512F4F6">
      <w:start w:val="1"/>
      <w:numFmt w:val="decimal"/>
      <w:pStyle w:val="Proposal"/>
      <w:lvlText w:val="Proposal %1"/>
      <w:lvlJc w:val="left"/>
      <w:pPr>
        <w:tabs>
          <w:tab w:val="num" w:pos="12077"/>
        </w:tabs>
        <w:ind w:left="12077" w:hanging="1304"/>
      </w:pPr>
      <w:rPr>
        <w:rFonts w:hint="default"/>
      </w:rPr>
    </w:lvl>
    <w:lvl w:ilvl="1" w:tplc="04090019">
      <w:start w:val="1"/>
      <w:numFmt w:val="lowerLetter"/>
      <w:lvlText w:val="%2."/>
      <w:lvlJc w:val="left"/>
      <w:pPr>
        <w:tabs>
          <w:tab w:val="num" w:pos="1494"/>
        </w:tabs>
        <w:ind w:left="1494" w:hanging="360"/>
      </w:pPr>
    </w:lvl>
    <w:lvl w:ilvl="2" w:tplc="0409001B" w:tentative="1">
      <w:start w:val="1"/>
      <w:numFmt w:val="lowerRoman"/>
      <w:lvlText w:val="%3."/>
      <w:lvlJc w:val="right"/>
      <w:pPr>
        <w:tabs>
          <w:tab w:val="num" w:pos="12933"/>
        </w:tabs>
        <w:ind w:left="12933" w:hanging="180"/>
      </w:pPr>
    </w:lvl>
    <w:lvl w:ilvl="3" w:tplc="0409000F" w:tentative="1">
      <w:start w:val="1"/>
      <w:numFmt w:val="decimal"/>
      <w:lvlText w:val="%4."/>
      <w:lvlJc w:val="left"/>
      <w:pPr>
        <w:tabs>
          <w:tab w:val="num" w:pos="13653"/>
        </w:tabs>
        <w:ind w:left="13653" w:hanging="360"/>
      </w:pPr>
    </w:lvl>
    <w:lvl w:ilvl="4" w:tplc="04090019" w:tentative="1">
      <w:start w:val="1"/>
      <w:numFmt w:val="lowerLetter"/>
      <w:lvlText w:val="%5."/>
      <w:lvlJc w:val="left"/>
      <w:pPr>
        <w:tabs>
          <w:tab w:val="num" w:pos="14373"/>
        </w:tabs>
        <w:ind w:left="14373" w:hanging="360"/>
      </w:pPr>
    </w:lvl>
    <w:lvl w:ilvl="5" w:tplc="0409001B" w:tentative="1">
      <w:start w:val="1"/>
      <w:numFmt w:val="lowerRoman"/>
      <w:lvlText w:val="%6."/>
      <w:lvlJc w:val="right"/>
      <w:pPr>
        <w:tabs>
          <w:tab w:val="num" w:pos="15093"/>
        </w:tabs>
        <w:ind w:left="15093" w:hanging="180"/>
      </w:pPr>
    </w:lvl>
    <w:lvl w:ilvl="6" w:tplc="0409000F" w:tentative="1">
      <w:start w:val="1"/>
      <w:numFmt w:val="decimal"/>
      <w:lvlText w:val="%7."/>
      <w:lvlJc w:val="left"/>
      <w:pPr>
        <w:tabs>
          <w:tab w:val="num" w:pos="15813"/>
        </w:tabs>
        <w:ind w:left="15813" w:hanging="360"/>
      </w:pPr>
    </w:lvl>
    <w:lvl w:ilvl="7" w:tplc="04090019" w:tentative="1">
      <w:start w:val="1"/>
      <w:numFmt w:val="lowerLetter"/>
      <w:lvlText w:val="%8."/>
      <w:lvlJc w:val="left"/>
      <w:pPr>
        <w:tabs>
          <w:tab w:val="num" w:pos="16533"/>
        </w:tabs>
        <w:ind w:left="16533" w:hanging="360"/>
      </w:pPr>
    </w:lvl>
    <w:lvl w:ilvl="8" w:tplc="0409001B" w:tentative="1">
      <w:start w:val="1"/>
      <w:numFmt w:val="lowerRoman"/>
      <w:lvlText w:val="%9."/>
      <w:lvlJc w:val="right"/>
      <w:pPr>
        <w:tabs>
          <w:tab w:val="num" w:pos="17253"/>
        </w:tabs>
        <w:ind w:left="17253"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3E4AB7"/>
    <w:multiLevelType w:val="hybridMultilevel"/>
    <w:tmpl w:val="41FE08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1981921"/>
    <w:multiLevelType w:val="hybridMultilevel"/>
    <w:tmpl w:val="605C4516"/>
    <w:lvl w:ilvl="0" w:tplc="0764FBF4">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8E0BF3"/>
    <w:multiLevelType w:val="hybridMultilevel"/>
    <w:tmpl w:val="3F5E74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BC66B3"/>
    <w:multiLevelType w:val="hybridMultilevel"/>
    <w:tmpl w:val="9A9A92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5D067A6"/>
    <w:multiLevelType w:val="hybridMultilevel"/>
    <w:tmpl w:val="E5FEF448"/>
    <w:lvl w:ilvl="0" w:tplc="CCA8F894">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1C2766"/>
    <w:multiLevelType w:val="hybridMultilevel"/>
    <w:tmpl w:val="3CF4B4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952191F"/>
    <w:multiLevelType w:val="hybridMultilevel"/>
    <w:tmpl w:val="D39466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A4542B"/>
    <w:multiLevelType w:val="hybridMultilevel"/>
    <w:tmpl w:val="952AE8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23"/>
  </w:num>
  <w:num w:numId="3">
    <w:abstractNumId w:val="17"/>
  </w:num>
  <w:num w:numId="4">
    <w:abstractNumId w:val="18"/>
  </w:num>
  <w:num w:numId="5">
    <w:abstractNumId w:val="12"/>
  </w:num>
  <w:num w:numId="6">
    <w:abstractNumId w:val="22"/>
  </w:num>
  <w:num w:numId="7">
    <w:abstractNumId w:val="29"/>
  </w:num>
  <w:num w:numId="8">
    <w:abstractNumId w:val="13"/>
  </w:num>
  <w:num w:numId="9">
    <w:abstractNumId w:val="11"/>
  </w:num>
  <w:num w:numId="10">
    <w:abstractNumId w:val="2"/>
  </w:num>
  <w:num w:numId="11">
    <w:abstractNumId w:val="1"/>
  </w:num>
  <w:num w:numId="12">
    <w:abstractNumId w:val="0"/>
  </w:num>
  <w:num w:numId="13">
    <w:abstractNumId w:val="25"/>
  </w:num>
  <w:num w:numId="14">
    <w:abstractNumId w:val="26"/>
  </w:num>
  <w:num w:numId="15">
    <w:abstractNumId w:val="20"/>
  </w:num>
  <w:num w:numId="16">
    <w:abstractNumId w:val="31"/>
  </w:num>
  <w:num w:numId="17">
    <w:abstractNumId w:val="8"/>
  </w:num>
  <w:num w:numId="18">
    <w:abstractNumId w:val="10"/>
  </w:num>
  <w:num w:numId="19">
    <w:abstractNumId w:val="5"/>
  </w:num>
  <w:num w:numId="20">
    <w:abstractNumId w:val="33"/>
  </w:num>
  <w:num w:numId="21">
    <w:abstractNumId w:val="14"/>
  </w:num>
  <w:num w:numId="22">
    <w:abstractNumId w:val="32"/>
  </w:num>
  <w:num w:numId="23">
    <w:abstractNumId w:val="16"/>
  </w:num>
  <w:num w:numId="24">
    <w:abstractNumId w:val="3"/>
  </w:num>
  <w:num w:numId="25">
    <w:abstractNumId w:val="6"/>
  </w:num>
  <w:num w:numId="26">
    <w:abstractNumId w:val="30"/>
  </w:num>
  <w:num w:numId="27">
    <w:abstractNumId w:val="19"/>
  </w:num>
  <w:num w:numId="28">
    <w:abstractNumId w:val="7"/>
  </w:num>
  <w:num w:numId="29">
    <w:abstractNumId w:val="24"/>
  </w:num>
  <w:num w:numId="30">
    <w:abstractNumId w:val="35"/>
  </w:num>
  <w:num w:numId="31">
    <w:abstractNumId w:val="15"/>
  </w:num>
  <w:num w:numId="32">
    <w:abstractNumId w:val="21"/>
  </w:num>
  <w:num w:numId="33">
    <w:abstractNumId w:val="28"/>
  </w:num>
  <w:num w:numId="34">
    <w:abstractNumId w:val="9"/>
  </w:num>
  <w:num w:numId="35">
    <w:abstractNumId w:val="27"/>
  </w:num>
  <w:num w:numId="36">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EA2"/>
    <w:rsid w:val="000006E1"/>
    <w:rsid w:val="00002A37"/>
    <w:rsid w:val="000037FA"/>
    <w:rsid w:val="0000564C"/>
    <w:rsid w:val="00006446"/>
    <w:rsid w:val="00006896"/>
    <w:rsid w:val="00006DAC"/>
    <w:rsid w:val="000078F5"/>
    <w:rsid w:val="00007CDC"/>
    <w:rsid w:val="00010148"/>
    <w:rsid w:val="00010306"/>
    <w:rsid w:val="00011707"/>
    <w:rsid w:val="00011B28"/>
    <w:rsid w:val="00014B66"/>
    <w:rsid w:val="00015D15"/>
    <w:rsid w:val="000164E3"/>
    <w:rsid w:val="0002254E"/>
    <w:rsid w:val="00024F72"/>
    <w:rsid w:val="0002564D"/>
    <w:rsid w:val="00025ECA"/>
    <w:rsid w:val="00030BDF"/>
    <w:rsid w:val="000325B8"/>
    <w:rsid w:val="00032652"/>
    <w:rsid w:val="00034C0E"/>
    <w:rsid w:val="00034C15"/>
    <w:rsid w:val="0003524F"/>
    <w:rsid w:val="00036BA1"/>
    <w:rsid w:val="00037979"/>
    <w:rsid w:val="00041A6A"/>
    <w:rsid w:val="00041CA0"/>
    <w:rsid w:val="000422E2"/>
    <w:rsid w:val="000427B5"/>
    <w:rsid w:val="00042F22"/>
    <w:rsid w:val="00043BC9"/>
    <w:rsid w:val="000444EF"/>
    <w:rsid w:val="000458C9"/>
    <w:rsid w:val="0005088F"/>
    <w:rsid w:val="00050B67"/>
    <w:rsid w:val="00052A07"/>
    <w:rsid w:val="000534E3"/>
    <w:rsid w:val="00055ADD"/>
    <w:rsid w:val="00055F65"/>
    <w:rsid w:val="0005606A"/>
    <w:rsid w:val="00057117"/>
    <w:rsid w:val="0005762D"/>
    <w:rsid w:val="0005796F"/>
    <w:rsid w:val="000616E7"/>
    <w:rsid w:val="00063C5A"/>
    <w:rsid w:val="0006487E"/>
    <w:rsid w:val="00064F03"/>
    <w:rsid w:val="00065E1A"/>
    <w:rsid w:val="00066F2B"/>
    <w:rsid w:val="00072E9B"/>
    <w:rsid w:val="000750D5"/>
    <w:rsid w:val="00077D11"/>
    <w:rsid w:val="00077E5F"/>
    <w:rsid w:val="0008036A"/>
    <w:rsid w:val="00081AE6"/>
    <w:rsid w:val="00081E03"/>
    <w:rsid w:val="0008347A"/>
    <w:rsid w:val="00083B0C"/>
    <w:rsid w:val="00084E9D"/>
    <w:rsid w:val="000852B8"/>
    <w:rsid w:val="000855EB"/>
    <w:rsid w:val="00085B52"/>
    <w:rsid w:val="000866F2"/>
    <w:rsid w:val="0008793C"/>
    <w:rsid w:val="00087E07"/>
    <w:rsid w:val="0009009F"/>
    <w:rsid w:val="00090409"/>
    <w:rsid w:val="00091557"/>
    <w:rsid w:val="000924C1"/>
    <w:rsid w:val="000924F0"/>
    <w:rsid w:val="00093474"/>
    <w:rsid w:val="00094CF7"/>
    <w:rsid w:val="0009510F"/>
    <w:rsid w:val="000A1264"/>
    <w:rsid w:val="000A1B7B"/>
    <w:rsid w:val="000A56F2"/>
    <w:rsid w:val="000A5EA3"/>
    <w:rsid w:val="000A6D53"/>
    <w:rsid w:val="000A7D51"/>
    <w:rsid w:val="000B1B4D"/>
    <w:rsid w:val="000B2719"/>
    <w:rsid w:val="000B2939"/>
    <w:rsid w:val="000B2F40"/>
    <w:rsid w:val="000B3A8F"/>
    <w:rsid w:val="000B4AB9"/>
    <w:rsid w:val="000B58C3"/>
    <w:rsid w:val="000B61E9"/>
    <w:rsid w:val="000B6E55"/>
    <w:rsid w:val="000B716E"/>
    <w:rsid w:val="000C165A"/>
    <w:rsid w:val="000C22B5"/>
    <w:rsid w:val="000C2E19"/>
    <w:rsid w:val="000D0660"/>
    <w:rsid w:val="000D0D07"/>
    <w:rsid w:val="000D4797"/>
    <w:rsid w:val="000D6F44"/>
    <w:rsid w:val="000D77A1"/>
    <w:rsid w:val="000E0527"/>
    <w:rsid w:val="000E1E92"/>
    <w:rsid w:val="000E5510"/>
    <w:rsid w:val="000F0241"/>
    <w:rsid w:val="000F06D6"/>
    <w:rsid w:val="000F0EB1"/>
    <w:rsid w:val="000F0F43"/>
    <w:rsid w:val="000F1106"/>
    <w:rsid w:val="000F11D5"/>
    <w:rsid w:val="000F3BE9"/>
    <w:rsid w:val="000F3F6C"/>
    <w:rsid w:val="000F4555"/>
    <w:rsid w:val="000F4A09"/>
    <w:rsid w:val="000F6AC9"/>
    <w:rsid w:val="000F6DF3"/>
    <w:rsid w:val="001005FF"/>
    <w:rsid w:val="00100785"/>
    <w:rsid w:val="0010089A"/>
    <w:rsid w:val="00103BBA"/>
    <w:rsid w:val="00104E99"/>
    <w:rsid w:val="00105C19"/>
    <w:rsid w:val="001062FB"/>
    <w:rsid w:val="001063E6"/>
    <w:rsid w:val="0010786C"/>
    <w:rsid w:val="00113560"/>
    <w:rsid w:val="00113CF4"/>
    <w:rsid w:val="00114BD1"/>
    <w:rsid w:val="00114EEB"/>
    <w:rsid w:val="001153EA"/>
    <w:rsid w:val="00115643"/>
    <w:rsid w:val="00116765"/>
    <w:rsid w:val="001219F5"/>
    <w:rsid w:val="00121A20"/>
    <w:rsid w:val="00121B97"/>
    <w:rsid w:val="0012322C"/>
    <w:rsid w:val="0012377F"/>
    <w:rsid w:val="00124314"/>
    <w:rsid w:val="00124B59"/>
    <w:rsid w:val="001268FC"/>
    <w:rsid w:val="00126B4A"/>
    <w:rsid w:val="00127412"/>
    <w:rsid w:val="0013150E"/>
    <w:rsid w:val="00132FD0"/>
    <w:rsid w:val="001344C0"/>
    <w:rsid w:val="001344EF"/>
    <w:rsid w:val="001346FA"/>
    <w:rsid w:val="00135252"/>
    <w:rsid w:val="00137AB5"/>
    <w:rsid w:val="00137F0B"/>
    <w:rsid w:val="001429E9"/>
    <w:rsid w:val="0014308B"/>
    <w:rsid w:val="001443F1"/>
    <w:rsid w:val="0014767C"/>
    <w:rsid w:val="00151E23"/>
    <w:rsid w:val="001526E0"/>
    <w:rsid w:val="001551B5"/>
    <w:rsid w:val="00155D02"/>
    <w:rsid w:val="001563B8"/>
    <w:rsid w:val="00160FCE"/>
    <w:rsid w:val="001616DF"/>
    <w:rsid w:val="001659C1"/>
    <w:rsid w:val="0017148F"/>
    <w:rsid w:val="00171495"/>
    <w:rsid w:val="001728BD"/>
    <w:rsid w:val="00173A8E"/>
    <w:rsid w:val="00174F3B"/>
    <w:rsid w:val="0017502C"/>
    <w:rsid w:val="0018143F"/>
    <w:rsid w:val="00181FF8"/>
    <w:rsid w:val="00184343"/>
    <w:rsid w:val="00185D73"/>
    <w:rsid w:val="0019020B"/>
    <w:rsid w:val="00190AC1"/>
    <w:rsid w:val="00192789"/>
    <w:rsid w:val="0019341A"/>
    <w:rsid w:val="0019346A"/>
    <w:rsid w:val="001938FC"/>
    <w:rsid w:val="0019489B"/>
    <w:rsid w:val="00197DF9"/>
    <w:rsid w:val="001A1987"/>
    <w:rsid w:val="001A2564"/>
    <w:rsid w:val="001A33EF"/>
    <w:rsid w:val="001A6173"/>
    <w:rsid w:val="001A6CBA"/>
    <w:rsid w:val="001B0D97"/>
    <w:rsid w:val="001B28E1"/>
    <w:rsid w:val="001B3D61"/>
    <w:rsid w:val="001B488B"/>
    <w:rsid w:val="001B516D"/>
    <w:rsid w:val="001B5A5D"/>
    <w:rsid w:val="001C1CE5"/>
    <w:rsid w:val="001C2116"/>
    <w:rsid w:val="001C2DAF"/>
    <w:rsid w:val="001C2EF1"/>
    <w:rsid w:val="001C3D2A"/>
    <w:rsid w:val="001C589C"/>
    <w:rsid w:val="001C6DE0"/>
    <w:rsid w:val="001C74F5"/>
    <w:rsid w:val="001C7ED8"/>
    <w:rsid w:val="001C7FA2"/>
    <w:rsid w:val="001D1162"/>
    <w:rsid w:val="001D2993"/>
    <w:rsid w:val="001D51BA"/>
    <w:rsid w:val="001D53E7"/>
    <w:rsid w:val="001D6342"/>
    <w:rsid w:val="001D6D53"/>
    <w:rsid w:val="001D6D7A"/>
    <w:rsid w:val="001E001B"/>
    <w:rsid w:val="001E2CA4"/>
    <w:rsid w:val="001E31D2"/>
    <w:rsid w:val="001E58E2"/>
    <w:rsid w:val="001E603B"/>
    <w:rsid w:val="001E745D"/>
    <w:rsid w:val="001E7AED"/>
    <w:rsid w:val="001F0BE2"/>
    <w:rsid w:val="001F0F38"/>
    <w:rsid w:val="001F3916"/>
    <w:rsid w:val="001F54C5"/>
    <w:rsid w:val="001F6249"/>
    <w:rsid w:val="001F662C"/>
    <w:rsid w:val="001F683D"/>
    <w:rsid w:val="001F7074"/>
    <w:rsid w:val="001F7AD8"/>
    <w:rsid w:val="00200490"/>
    <w:rsid w:val="00201DB9"/>
    <w:rsid w:val="00201F3A"/>
    <w:rsid w:val="00203F96"/>
    <w:rsid w:val="002069B2"/>
    <w:rsid w:val="00207FA3"/>
    <w:rsid w:val="00210FBF"/>
    <w:rsid w:val="002118B1"/>
    <w:rsid w:val="00211E6F"/>
    <w:rsid w:val="00212DF5"/>
    <w:rsid w:val="00214DA8"/>
    <w:rsid w:val="00215423"/>
    <w:rsid w:val="002158FA"/>
    <w:rsid w:val="00220600"/>
    <w:rsid w:val="002224DB"/>
    <w:rsid w:val="00222A69"/>
    <w:rsid w:val="00223FCB"/>
    <w:rsid w:val="002252C3"/>
    <w:rsid w:val="00225C54"/>
    <w:rsid w:val="0022687B"/>
    <w:rsid w:val="00230765"/>
    <w:rsid w:val="00230D18"/>
    <w:rsid w:val="00230F87"/>
    <w:rsid w:val="002319E4"/>
    <w:rsid w:val="00233830"/>
    <w:rsid w:val="00235632"/>
    <w:rsid w:val="00235872"/>
    <w:rsid w:val="00237971"/>
    <w:rsid w:val="002404BB"/>
    <w:rsid w:val="00240880"/>
    <w:rsid w:val="00241559"/>
    <w:rsid w:val="00242907"/>
    <w:rsid w:val="00242AD7"/>
    <w:rsid w:val="002435B3"/>
    <w:rsid w:val="00244060"/>
    <w:rsid w:val="0024501A"/>
    <w:rsid w:val="002458EB"/>
    <w:rsid w:val="0024596C"/>
    <w:rsid w:val="002500C8"/>
    <w:rsid w:val="0025387E"/>
    <w:rsid w:val="00254836"/>
    <w:rsid w:val="00256687"/>
    <w:rsid w:val="00257543"/>
    <w:rsid w:val="002617E7"/>
    <w:rsid w:val="00262E02"/>
    <w:rsid w:val="00264228"/>
    <w:rsid w:val="00264334"/>
    <w:rsid w:val="0026473E"/>
    <w:rsid w:val="00264A2F"/>
    <w:rsid w:val="002658BE"/>
    <w:rsid w:val="00266214"/>
    <w:rsid w:val="00267ACB"/>
    <w:rsid w:val="00267C83"/>
    <w:rsid w:val="0027144F"/>
    <w:rsid w:val="00271813"/>
    <w:rsid w:val="00271D99"/>
    <w:rsid w:val="00271F3A"/>
    <w:rsid w:val="00273278"/>
    <w:rsid w:val="002737F4"/>
    <w:rsid w:val="002763C3"/>
    <w:rsid w:val="002805F5"/>
    <w:rsid w:val="00280751"/>
    <w:rsid w:val="00281B5F"/>
    <w:rsid w:val="0028280A"/>
    <w:rsid w:val="00285D22"/>
    <w:rsid w:val="00286ACD"/>
    <w:rsid w:val="00287838"/>
    <w:rsid w:val="002878D1"/>
    <w:rsid w:val="002907B5"/>
    <w:rsid w:val="00291105"/>
    <w:rsid w:val="00292EB7"/>
    <w:rsid w:val="00296227"/>
    <w:rsid w:val="00296F44"/>
    <w:rsid w:val="0029777D"/>
    <w:rsid w:val="002A055E"/>
    <w:rsid w:val="002A1D4E"/>
    <w:rsid w:val="002A2869"/>
    <w:rsid w:val="002A55D4"/>
    <w:rsid w:val="002B24D6"/>
    <w:rsid w:val="002B2C4C"/>
    <w:rsid w:val="002B3DFF"/>
    <w:rsid w:val="002B4B4E"/>
    <w:rsid w:val="002B5251"/>
    <w:rsid w:val="002B77B4"/>
    <w:rsid w:val="002C188F"/>
    <w:rsid w:val="002C2F26"/>
    <w:rsid w:val="002C3A76"/>
    <w:rsid w:val="002C41E6"/>
    <w:rsid w:val="002C60AA"/>
    <w:rsid w:val="002D071A"/>
    <w:rsid w:val="002D34B2"/>
    <w:rsid w:val="002D48B0"/>
    <w:rsid w:val="002D5B37"/>
    <w:rsid w:val="002D6AEF"/>
    <w:rsid w:val="002D7637"/>
    <w:rsid w:val="002D7DB1"/>
    <w:rsid w:val="002E02C9"/>
    <w:rsid w:val="002E10C3"/>
    <w:rsid w:val="002E17F2"/>
    <w:rsid w:val="002E2EBF"/>
    <w:rsid w:val="002E6375"/>
    <w:rsid w:val="002E77D6"/>
    <w:rsid w:val="002E7CAE"/>
    <w:rsid w:val="002F13E4"/>
    <w:rsid w:val="002F1DF6"/>
    <w:rsid w:val="002F233D"/>
    <w:rsid w:val="002F26C9"/>
    <w:rsid w:val="002F2771"/>
    <w:rsid w:val="002F34EC"/>
    <w:rsid w:val="002F37A9"/>
    <w:rsid w:val="002F3A2F"/>
    <w:rsid w:val="002F49C6"/>
    <w:rsid w:val="002F5402"/>
    <w:rsid w:val="002F5AED"/>
    <w:rsid w:val="002F5BE7"/>
    <w:rsid w:val="002F6659"/>
    <w:rsid w:val="00301CE6"/>
    <w:rsid w:val="0030256B"/>
    <w:rsid w:val="00304123"/>
    <w:rsid w:val="00304F3C"/>
    <w:rsid w:val="0030501F"/>
    <w:rsid w:val="00307BA1"/>
    <w:rsid w:val="00311702"/>
    <w:rsid w:val="00311E82"/>
    <w:rsid w:val="00313FD6"/>
    <w:rsid w:val="003143BD"/>
    <w:rsid w:val="00315363"/>
    <w:rsid w:val="00315775"/>
    <w:rsid w:val="00320379"/>
    <w:rsid w:val="003203ED"/>
    <w:rsid w:val="0032079E"/>
    <w:rsid w:val="00321EAE"/>
    <w:rsid w:val="00322C52"/>
    <w:rsid w:val="00322C9F"/>
    <w:rsid w:val="00323C58"/>
    <w:rsid w:val="00324A3D"/>
    <w:rsid w:val="00324C0C"/>
    <w:rsid w:val="00324D23"/>
    <w:rsid w:val="00325CD0"/>
    <w:rsid w:val="00331751"/>
    <w:rsid w:val="00334579"/>
    <w:rsid w:val="00334690"/>
    <w:rsid w:val="00335858"/>
    <w:rsid w:val="003368E2"/>
    <w:rsid w:val="00336BDA"/>
    <w:rsid w:val="003376EA"/>
    <w:rsid w:val="00340509"/>
    <w:rsid w:val="003408D0"/>
    <w:rsid w:val="00342BD7"/>
    <w:rsid w:val="0034514F"/>
    <w:rsid w:val="00346DB5"/>
    <w:rsid w:val="003477B1"/>
    <w:rsid w:val="00347FE6"/>
    <w:rsid w:val="0035114E"/>
    <w:rsid w:val="00351828"/>
    <w:rsid w:val="00351DB6"/>
    <w:rsid w:val="003563AE"/>
    <w:rsid w:val="00356FAA"/>
    <w:rsid w:val="00357380"/>
    <w:rsid w:val="003602D9"/>
    <w:rsid w:val="003604CE"/>
    <w:rsid w:val="00362B05"/>
    <w:rsid w:val="00362FF9"/>
    <w:rsid w:val="00363B21"/>
    <w:rsid w:val="00366316"/>
    <w:rsid w:val="003669EF"/>
    <w:rsid w:val="00370026"/>
    <w:rsid w:val="00370E47"/>
    <w:rsid w:val="003725D1"/>
    <w:rsid w:val="003742AC"/>
    <w:rsid w:val="00375207"/>
    <w:rsid w:val="00377CE1"/>
    <w:rsid w:val="00380D5C"/>
    <w:rsid w:val="00382B55"/>
    <w:rsid w:val="00384DCA"/>
    <w:rsid w:val="003854E0"/>
    <w:rsid w:val="00385BF0"/>
    <w:rsid w:val="00386239"/>
    <w:rsid w:val="00386B5D"/>
    <w:rsid w:val="00386B8F"/>
    <w:rsid w:val="003912CD"/>
    <w:rsid w:val="003925FB"/>
    <w:rsid w:val="003939FF"/>
    <w:rsid w:val="00393E64"/>
    <w:rsid w:val="00393F47"/>
    <w:rsid w:val="0039429C"/>
    <w:rsid w:val="003978CF"/>
    <w:rsid w:val="003A0C12"/>
    <w:rsid w:val="003A2223"/>
    <w:rsid w:val="003A2A0F"/>
    <w:rsid w:val="003A3C1D"/>
    <w:rsid w:val="003A45A1"/>
    <w:rsid w:val="003A581D"/>
    <w:rsid w:val="003A5B0A"/>
    <w:rsid w:val="003A626A"/>
    <w:rsid w:val="003A6BAC"/>
    <w:rsid w:val="003A70A4"/>
    <w:rsid w:val="003A73FC"/>
    <w:rsid w:val="003A7EF3"/>
    <w:rsid w:val="003B159C"/>
    <w:rsid w:val="003B35EC"/>
    <w:rsid w:val="003B369F"/>
    <w:rsid w:val="003B36A3"/>
    <w:rsid w:val="003B639C"/>
    <w:rsid w:val="003B64BB"/>
    <w:rsid w:val="003B7FE5"/>
    <w:rsid w:val="003C0309"/>
    <w:rsid w:val="003C07F1"/>
    <w:rsid w:val="003C11C8"/>
    <w:rsid w:val="003C2702"/>
    <w:rsid w:val="003C2CCD"/>
    <w:rsid w:val="003C34C3"/>
    <w:rsid w:val="003C37A8"/>
    <w:rsid w:val="003C4A67"/>
    <w:rsid w:val="003C7806"/>
    <w:rsid w:val="003D109F"/>
    <w:rsid w:val="003D2478"/>
    <w:rsid w:val="003D2C19"/>
    <w:rsid w:val="003D3C45"/>
    <w:rsid w:val="003D3D16"/>
    <w:rsid w:val="003D3D7C"/>
    <w:rsid w:val="003D5B1F"/>
    <w:rsid w:val="003D5E67"/>
    <w:rsid w:val="003D6083"/>
    <w:rsid w:val="003E15FA"/>
    <w:rsid w:val="003E2BBD"/>
    <w:rsid w:val="003E50E4"/>
    <w:rsid w:val="003E55E4"/>
    <w:rsid w:val="003E74E3"/>
    <w:rsid w:val="003F05C7"/>
    <w:rsid w:val="003F1430"/>
    <w:rsid w:val="003F2CD4"/>
    <w:rsid w:val="003F43E6"/>
    <w:rsid w:val="003F4E93"/>
    <w:rsid w:val="003F5329"/>
    <w:rsid w:val="003F6BBE"/>
    <w:rsid w:val="004000E8"/>
    <w:rsid w:val="00402E2B"/>
    <w:rsid w:val="004035FC"/>
    <w:rsid w:val="00404FDA"/>
    <w:rsid w:val="0040512B"/>
    <w:rsid w:val="00405CA5"/>
    <w:rsid w:val="00406BCF"/>
    <w:rsid w:val="00407CD3"/>
    <w:rsid w:val="00410134"/>
    <w:rsid w:val="00410B72"/>
    <w:rsid w:val="00410F18"/>
    <w:rsid w:val="00411206"/>
    <w:rsid w:val="00411488"/>
    <w:rsid w:val="0041263E"/>
    <w:rsid w:val="00413AAC"/>
    <w:rsid w:val="00413E92"/>
    <w:rsid w:val="004141FF"/>
    <w:rsid w:val="00416581"/>
    <w:rsid w:val="00421105"/>
    <w:rsid w:val="00422AA4"/>
    <w:rsid w:val="004242F4"/>
    <w:rsid w:val="00427248"/>
    <w:rsid w:val="00427C9F"/>
    <w:rsid w:val="0043224A"/>
    <w:rsid w:val="00432738"/>
    <w:rsid w:val="004328B1"/>
    <w:rsid w:val="00432A67"/>
    <w:rsid w:val="00433F24"/>
    <w:rsid w:val="004365B8"/>
    <w:rsid w:val="00437447"/>
    <w:rsid w:val="004411C2"/>
    <w:rsid w:val="00441A92"/>
    <w:rsid w:val="00441CF0"/>
    <w:rsid w:val="004431DC"/>
    <w:rsid w:val="00443500"/>
    <w:rsid w:val="00444597"/>
    <w:rsid w:val="00444F56"/>
    <w:rsid w:val="00446488"/>
    <w:rsid w:val="00450348"/>
    <w:rsid w:val="004506A2"/>
    <w:rsid w:val="004514EA"/>
    <w:rsid w:val="004517AA"/>
    <w:rsid w:val="00451A42"/>
    <w:rsid w:val="00452CAC"/>
    <w:rsid w:val="004544D4"/>
    <w:rsid w:val="004569D3"/>
    <w:rsid w:val="00456B9C"/>
    <w:rsid w:val="00457565"/>
    <w:rsid w:val="00457B71"/>
    <w:rsid w:val="00460501"/>
    <w:rsid w:val="00464689"/>
    <w:rsid w:val="004669E2"/>
    <w:rsid w:val="0046776B"/>
    <w:rsid w:val="00470107"/>
    <w:rsid w:val="00470574"/>
    <w:rsid w:val="00470C31"/>
    <w:rsid w:val="00471DE0"/>
    <w:rsid w:val="00472DFC"/>
    <w:rsid w:val="004734D0"/>
    <w:rsid w:val="00473585"/>
    <w:rsid w:val="004736DF"/>
    <w:rsid w:val="0047372D"/>
    <w:rsid w:val="00474909"/>
    <w:rsid w:val="0047556B"/>
    <w:rsid w:val="00475ADD"/>
    <w:rsid w:val="00477768"/>
    <w:rsid w:val="00480628"/>
    <w:rsid w:val="00480999"/>
    <w:rsid w:val="00480CD0"/>
    <w:rsid w:val="00482D48"/>
    <w:rsid w:val="0048302F"/>
    <w:rsid w:val="0048326C"/>
    <w:rsid w:val="004876F5"/>
    <w:rsid w:val="00490791"/>
    <w:rsid w:val="00491151"/>
    <w:rsid w:val="00492BC5"/>
    <w:rsid w:val="004942A9"/>
    <w:rsid w:val="004958BA"/>
    <w:rsid w:val="004964F1"/>
    <w:rsid w:val="004A16BC"/>
    <w:rsid w:val="004A2ABC"/>
    <w:rsid w:val="004A2B94"/>
    <w:rsid w:val="004A2F20"/>
    <w:rsid w:val="004A4CBF"/>
    <w:rsid w:val="004B155E"/>
    <w:rsid w:val="004B156A"/>
    <w:rsid w:val="004B2855"/>
    <w:rsid w:val="004B31E7"/>
    <w:rsid w:val="004B587C"/>
    <w:rsid w:val="004B6878"/>
    <w:rsid w:val="004B68C9"/>
    <w:rsid w:val="004B6EA2"/>
    <w:rsid w:val="004B6F6A"/>
    <w:rsid w:val="004B6F8A"/>
    <w:rsid w:val="004B7C0C"/>
    <w:rsid w:val="004C11E5"/>
    <w:rsid w:val="004C330D"/>
    <w:rsid w:val="004C3898"/>
    <w:rsid w:val="004C6559"/>
    <w:rsid w:val="004D33D5"/>
    <w:rsid w:val="004D36B1"/>
    <w:rsid w:val="004D7EBD"/>
    <w:rsid w:val="004E2680"/>
    <w:rsid w:val="004E28F9"/>
    <w:rsid w:val="004E36B5"/>
    <w:rsid w:val="004E462E"/>
    <w:rsid w:val="004E56DC"/>
    <w:rsid w:val="004E6A78"/>
    <w:rsid w:val="004E76F4"/>
    <w:rsid w:val="004E7D10"/>
    <w:rsid w:val="004F0B4E"/>
    <w:rsid w:val="004F0B6C"/>
    <w:rsid w:val="004F0E39"/>
    <w:rsid w:val="004F2078"/>
    <w:rsid w:val="004F43EE"/>
    <w:rsid w:val="004F4DA3"/>
    <w:rsid w:val="00503CFB"/>
    <w:rsid w:val="00506557"/>
    <w:rsid w:val="0050677A"/>
    <w:rsid w:val="0050707A"/>
    <w:rsid w:val="005075A5"/>
    <w:rsid w:val="00507CE5"/>
    <w:rsid w:val="005108D8"/>
    <w:rsid w:val="005116F9"/>
    <w:rsid w:val="00511BAF"/>
    <w:rsid w:val="00511E13"/>
    <w:rsid w:val="005130C9"/>
    <w:rsid w:val="005153A7"/>
    <w:rsid w:val="00515402"/>
    <w:rsid w:val="005204CE"/>
    <w:rsid w:val="005219CF"/>
    <w:rsid w:val="00523E14"/>
    <w:rsid w:val="0052451F"/>
    <w:rsid w:val="00525965"/>
    <w:rsid w:val="00526EBC"/>
    <w:rsid w:val="00530023"/>
    <w:rsid w:val="005317D8"/>
    <w:rsid w:val="00532F15"/>
    <w:rsid w:val="00534B59"/>
    <w:rsid w:val="00536759"/>
    <w:rsid w:val="00537C62"/>
    <w:rsid w:val="00540695"/>
    <w:rsid w:val="00541B2A"/>
    <w:rsid w:val="00541E3B"/>
    <w:rsid w:val="00545088"/>
    <w:rsid w:val="00546970"/>
    <w:rsid w:val="0055245A"/>
    <w:rsid w:val="005544C6"/>
    <w:rsid w:val="00554E19"/>
    <w:rsid w:val="00555609"/>
    <w:rsid w:val="005565AF"/>
    <w:rsid w:val="00556FDA"/>
    <w:rsid w:val="00557E06"/>
    <w:rsid w:val="00560288"/>
    <w:rsid w:val="0056121F"/>
    <w:rsid w:val="00561E07"/>
    <w:rsid w:val="005625BD"/>
    <w:rsid w:val="005629E2"/>
    <w:rsid w:val="0056735E"/>
    <w:rsid w:val="00570D29"/>
    <w:rsid w:val="00572505"/>
    <w:rsid w:val="00572F55"/>
    <w:rsid w:val="00576CD3"/>
    <w:rsid w:val="00577CB4"/>
    <w:rsid w:val="005824AF"/>
    <w:rsid w:val="00582809"/>
    <w:rsid w:val="0058320B"/>
    <w:rsid w:val="0058636A"/>
    <w:rsid w:val="0058798C"/>
    <w:rsid w:val="005900FA"/>
    <w:rsid w:val="005935A4"/>
    <w:rsid w:val="00593C40"/>
    <w:rsid w:val="005948C2"/>
    <w:rsid w:val="0059538A"/>
    <w:rsid w:val="00595DCA"/>
    <w:rsid w:val="0059779B"/>
    <w:rsid w:val="005A209A"/>
    <w:rsid w:val="005A3A69"/>
    <w:rsid w:val="005A6388"/>
    <w:rsid w:val="005A662D"/>
    <w:rsid w:val="005A73C1"/>
    <w:rsid w:val="005B1409"/>
    <w:rsid w:val="005B1562"/>
    <w:rsid w:val="005B2D79"/>
    <w:rsid w:val="005B35D7"/>
    <w:rsid w:val="005B392A"/>
    <w:rsid w:val="005B3AA3"/>
    <w:rsid w:val="005B6C94"/>
    <w:rsid w:val="005B6F83"/>
    <w:rsid w:val="005B7259"/>
    <w:rsid w:val="005C1035"/>
    <w:rsid w:val="005C45D4"/>
    <w:rsid w:val="005C74FB"/>
    <w:rsid w:val="005C7878"/>
    <w:rsid w:val="005D07AF"/>
    <w:rsid w:val="005D1602"/>
    <w:rsid w:val="005D17A3"/>
    <w:rsid w:val="005D3C07"/>
    <w:rsid w:val="005D4A0C"/>
    <w:rsid w:val="005D5562"/>
    <w:rsid w:val="005E2399"/>
    <w:rsid w:val="005E2FF6"/>
    <w:rsid w:val="005E385F"/>
    <w:rsid w:val="005E3DFE"/>
    <w:rsid w:val="005E53AF"/>
    <w:rsid w:val="005E5B81"/>
    <w:rsid w:val="005F1EF7"/>
    <w:rsid w:val="005F2A3D"/>
    <w:rsid w:val="005F2CB1"/>
    <w:rsid w:val="005F3025"/>
    <w:rsid w:val="005F334A"/>
    <w:rsid w:val="005F4E13"/>
    <w:rsid w:val="005F618C"/>
    <w:rsid w:val="005F70BD"/>
    <w:rsid w:val="005F7678"/>
    <w:rsid w:val="0060283C"/>
    <w:rsid w:val="00604F14"/>
    <w:rsid w:val="00606099"/>
    <w:rsid w:val="0060630A"/>
    <w:rsid w:val="006070BC"/>
    <w:rsid w:val="00607E03"/>
    <w:rsid w:val="00611B83"/>
    <w:rsid w:val="00613257"/>
    <w:rsid w:val="00613B08"/>
    <w:rsid w:val="006160E1"/>
    <w:rsid w:val="00617085"/>
    <w:rsid w:val="0062086F"/>
    <w:rsid w:val="00620A71"/>
    <w:rsid w:val="00620D80"/>
    <w:rsid w:val="00623065"/>
    <w:rsid w:val="006234A6"/>
    <w:rsid w:val="00625384"/>
    <w:rsid w:val="00627B1B"/>
    <w:rsid w:val="00630001"/>
    <w:rsid w:val="0063061F"/>
    <w:rsid w:val="006311B3"/>
    <w:rsid w:val="00632464"/>
    <w:rsid w:val="0063284C"/>
    <w:rsid w:val="00632FD5"/>
    <w:rsid w:val="00635C97"/>
    <w:rsid w:val="00636398"/>
    <w:rsid w:val="006368D3"/>
    <w:rsid w:val="00637227"/>
    <w:rsid w:val="006377EC"/>
    <w:rsid w:val="006407F2"/>
    <w:rsid w:val="00641216"/>
    <w:rsid w:val="0064151F"/>
    <w:rsid w:val="00641533"/>
    <w:rsid w:val="00641CE9"/>
    <w:rsid w:val="0064208D"/>
    <w:rsid w:val="00643475"/>
    <w:rsid w:val="00643796"/>
    <w:rsid w:val="0064396A"/>
    <w:rsid w:val="00644B9C"/>
    <w:rsid w:val="0064624E"/>
    <w:rsid w:val="00647116"/>
    <w:rsid w:val="0064740D"/>
    <w:rsid w:val="00647767"/>
    <w:rsid w:val="00650AB9"/>
    <w:rsid w:val="00653407"/>
    <w:rsid w:val="00655733"/>
    <w:rsid w:val="006558CB"/>
    <w:rsid w:val="00655ACD"/>
    <w:rsid w:val="00656A92"/>
    <w:rsid w:val="00656DDE"/>
    <w:rsid w:val="0065751F"/>
    <w:rsid w:val="0066011D"/>
    <w:rsid w:val="006607C0"/>
    <w:rsid w:val="006613A6"/>
    <w:rsid w:val="006627A2"/>
    <w:rsid w:val="006634E6"/>
    <w:rsid w:val="00664A9A"/>
    <w:rsid w:val="006655EE"/>
    <w:rsid w:val="00666405"/>
    <w:rsid w:val="006672DF"/>
    <w:rsid w:val="00667C24"/>
    <w:rsid w:val="00667EE7"/>
    <w:rsid w:val="00670808"/>
    <w:rsid w:val="00670922"/>
    <w:rsid w:val="00670BE1"/>
    <w:rsid w:val="00671574"/>
    <w:rsid w:val="0067218F"/>
    <w:rsid w:val="006721B1"/>
    <w:rsid w:val="006741F2"/>
    <w:rsid w:val="006745BD"/>
    <w:rsid w:val="00674CC3"/>
    <w:rsid w:val="0067558A"/>
    <w:rsid w:val="00675C72"/>
    <w:rsid w:val="006771F9"/>
    <w:rsid w:val="00677545"/>
    <w:rsid w:val="006776D7"/>
    <w:rsid w:val="00681003"/>
    <w:rsid w:val="006817C9"/>
    <w:rsid w:val="0068382C"/>
    <w:rsid w:val="00683ECE"/>
    <w:rsid w:val="00683FAA"/>
    <w:rsid w:val="00686C8C"/>
    <w:rsid w:val="00691E01"/>
    <w:rsid w:val="006939B3"/>
    <w:rsid w:val="00695FC2"/>
    <w:rsid w:val="00696949"/>
    <w:rsid w:val="00696D11"/>
    <w:rsid w:val="00697052"/>
    <w:rsid w:val="00697267"/>
    <w:rsid w:val="006A242A"/>
    <w:rsid w:val="006A46FB"/>
    <w:rsid w:val="006A5E28"/>
    <w:rsid w:val="006A697B"/>
    <w:rsid w:val="006A72BC"/>
    <w:rsid w:val="006A7735"/>
    <w:rsid w:val="006A7AFF"/>
    <w:rsid w:val="006B109A"/>
    <w:rsid w:val="006B1816"/>
    <w:rsid w:val="006B2099"/>
    <w:rsid w:val="006B50CF"/>
    <w:rsid w:val="006B5310"/>
    <w:rsid w:val="006C03B8"/>
    <w:rsid w:val="006C17D2"/>
    <w:rsid w:val="006C5EC9"/>
    <w:rsid w:val="006C6059"/>
    <w:rsid w:val="006C7522"/>
    <w:rsid w:val="006C7E93"/>
    <w:rsid w:val="006D25EE"/>
    <w:rsid w:val="006D365C"/>
    <w:rsid w:val="006D42C8"/>
    <w:rsid w:val="006D6F08"/>
    <w:rsid w:val="006E062C"/>
    <w:rsid w:val="006E1C82"/>
    <w:rsid w:val="006E1F51"/>
    <w:rsid w:val="006E28B7"/>
    <w:rsid w:val="006E2A9B"/>
    <w:rsid w:val="006E3310"/>
    <w:rsid w:val="006E4E39"/>
    <w:rsid w:val="006E565E"/>
    <w:rsid w:val="006E673D"/>
    <w:rsid w:val="006E737A"/>
    <w:rsid w:val="006E7D3B"/>
    <w:rsid w:val="006F1B70"/>
    <w:rsid w:val="006F341D"/>
    <w:rsid w:val="006F3CDE"/>
    <w:rsid w:val="006F4BC8"/>
    <w:rsid w:val="006F513C"/>
    <w:rsid w:val="006F58D4"/>
    <w:rsid w:val="006F6582"/>
    <w:rsid w:val="0070346E"/>
    <w:rsid w:val="00703F48"/>
    <w:rsid w:val="00704EDB"/>
    <w:rsid w:val="00706101"/>
    <w:rsid w:val="00706804"/>
    <w:rsid w:val="00706F8B"/>
    <w:rsid w:val="00707072"/>
    <w:rsid w:val="00707D61"/>
    <w:rsid w:val="007111C0"/>
    <w:rsid w:val="00712287"/>
    <w:rsid w:val="00712772"/>
    <w:rsid w:val="00713F61"/>
    <w:rsid w:val="00714678"/>
    <w:rsid w:val="007148D3"/>
    <w:rsid w:val="00714B74"/>
    <w:rsid w:val="00715B9A"/>
    <w:rsid w:val="00717214"/>
    <w:rsid w:val="00721B32"/>
    <w:rsid w:val="00722625"/>
    <w:rsid w:val="007257D0"/>
    <w:rsid w:val="00726EA6"/>
    <w:rsid w:val="00727208"/>
    <w:rsid w:val="00727680"/>
    <w:rsid w:val="00732264"/>
    <w:rsid w:val="007348B1"/>
    <w:rsid w:val="007362A6"/>
    <w:rsid w:val="00736808"/>
    <w:rsid w:val="00736D7D"/>
    <w:rsid w:val="00736E34"/>
    <w:rsid w:val="00740E58"/>
    <w:rsid w:val="00743078"/>
    <w:rsid w:val="00743C8E"/>
    <w:rsid w:val="007445A0"/>
    <w:rsid w:val="0074524B"/>
    <w:rsid w:val="007458D8"/>
    <w:rsid w:val="007466F2"/>
    <w:rsid w:val="00747D8B"/>
    <w:rsid w:val="00751228"/>
    <w:rsid w:val="007553AF"/>
    <w:rsid w:val="007571E1"/>
    <w:rsid w:val="007604B2"/>
    <w:rsid w:val="00761A23"/>
    <w:rsid w:val="007643D2"/>
    <w:rsid w:val="00765281"/>
    <w:rsid w:val="00766BAD"/>
    <w:rsid w:val="007729A2"/>
    <w:rsid w:val="007738AB"/>
    <w:rsid w:val="007755F2"/>
    <w:rsid w:val="00776783"/>
    <w:rsid w:val="00776971"/>
    <w:rsid w:val="00777EAF"/>
    <w:rsid w:val="00780142"/>
    <w:rsid w:val="00780768"/>
    <w:rsid w:val="00780A80"/>
    <w:rsid w:val="00780E53"/>
    <w:rsid w:val="0078177E"/>
    <w:rsid w:val="007818C0"/>
    <w:rsid w:val="0078304C"/>
    <w:rsid w:val="00783673"/>
    <w:rsid w:val="00785490"/>
    <w:rsid w:val="00790C31"/>
    <w:rsid w:val="007925EA"/>
    <w:rsid w:val="007938A2"/>
    <w:rsid w:val="00793CD8"/>
    <w:rsid w:val="00795C92"/>
    <w:rsid w:val="00796231"/>
    <w:rsid w:val="007A0562"/>
    <w:rsid w:val="007A1CB3"/>
    <w:rsid w:val="007A1E14"/>
    <w:rsid w:val="007A306F"/>
    <w:rsid w:val="007A43A6"/>
    <w:rsid w:val="007A44B6"/>
    <w:rsid w:val="007A58A6"/>
    <w:rsid w:val="007B3D2D"/>
    <w:rsid w:val="007B44DA"/>
    <w:rsid w:val="007B50AE"/>
    <w:rsid w:val="007B51DF"/>
    <w:rsid w:val="007C05DD"/>
    <w:rsid w:val="007C23F3"/>
    <w:rsid w:val="007C3D18"/>
    <w:rsid w:val="007C60BF"/>
    <w:rsid w:val="007C6A07"/>
    <w:rsid w:val="007C75A1"/>
    <w:rsid w:val="007C77A5"/>
    <w:rsid w:val="007C7DCF"/>
    <w:rsid w:val="007D04E5"/>
    <w:rsid w:val="007D5901"/>
    <w:rsid w:val="007D5A79"/>
    <w:rsid w:val="007D6468"/>
    <w:rsid w:val="007D7526"/>
    <w:rsid w:val="007D7808"/>
    <w:rsid w:val="007E1219"/>
    <w:rsid w:val="007E3ABB"/>
    <w:rsid w:val="007E4038"/>
    <w:rsid w:val="007E4610"/>
    <w:rsid w:val="007E4715"/>
    <w:rsid w:val="007E505B"/>
    <w:rsid w:val="007E7091"/>
    <w:rsid w:val="007F3C08"/>
    <w:rsid w:val="00801597"/>
    <w:rsid w:val="008039E2"/>
    <w:rsid w:val="00803FAE"/>
    <w:rsid w:val="0080605F"/>
    <w:rsid w:val="00807786"/>
    <w:rsid w:val="008079A9"/>
    <w:rsid w:val="00811170"/>
    <w:rsid w:val="00811FCB"/>
    <w:rsid w:val="00812066"/>
    <w:rsid w:val="008124C3"/>
    <w:rsid w:val="008158D6"/>
    <w:rsid w:val="00817196"/>
    <w:rsid w:val="008235DB"/>
    <w:rsid w:val="00824AB4"/>
    <w:rsid w:val="00825C42"/>
    <w:rsid w:val="00825D25"/>
    <w:rsid w:val="0082610E"/>
    <w:rsid w:val="00826269"/>
    <w:rsid w:val="00827D6F"/>
    <w:rsid w:val="00830261"/>
    <w:rsid w:val="008314FF"/>
    <w:rsid w:val="00834918"/>
    <w:rsid w:val="008376AC"/>
    <w:rsid w:val="00837D35"/>
    <w:rsid w:val="00842526"/>
    <w:rsid w:val="008444E8"/>
    <w:rsid w:val="00844E80"/>
    <w:rsid w:val="008462E8"/>
    <w:rsid w:val="00846FE7"/>
    <w:rsid w:val="008472ED"/>
    <w:rsid w:val="008476F2"/>
    <w:rsid w:val="00847B37"/>
    <w:rsid w:val="008500BA"/>
    <w:rsid w:val="008502B7"/>
    <w:rsid w:val="008508FC"/>
    <w:rsid w:val="00854208"/>
    <w:rsid w:val="00855669"/>
    <w:rsid w:val="00855A12"/>
    <w:rsid w:val="00856911"/>
    <w:rsid w:val="00865592"/>
    <w:rsid w:val="008660D8"/>
    <w:rsid w:val="008665FF"/>
    <w:rsid w:val="008677FD"/>
    <w:rsid w:val="008706D4"/>
    <w:rsid w:val="00870F8A"/>
    <w:rsid w:val="008719A4"/>
    <w:rsid w:val="00871D23"/>
    <w:rsid w:val="00874312"/>
    <w:rsid w:val="0087437C"/>
    <w:rsid w:val="008759D0"/>
    <w:rsid w:val="00875CD7"/>
    <w:rsid w:val="00876B4D"/>
    <w:rsid w:val="00876B5E"/>
    <w:rsid w:val="00877F18"/>
    <w:rsid w:val="008806CA"/>
    <w:rsid w:val="008869F2"/>
    <w:rsid w:val="008876E4"/>
    <w:rsid w:val="008915FC"/>
    <w:rsid w:val="008934C4"/>
    <w:rsid w:val="00893EFE"/>
    <w:rsid w:val="008941E3"/>
    <w:rsid w:val="00894A88"/>
    <w:rsid w:val="00895386"/>
    <w:rsid w:val="0089600F"/>
    <w:rsid w:val="008A0D1B"/>
    <w:rsid w:val="008A1E55"/>
    <w:rsid w:val="008A21FF"/>
    <w:rsid w:val="008A2CE2"/>
    <w:rsid w:val="008A30AC"/>
    <w:rsid w:val="008A35F6"/>
    <w:rsid w:val="008A44B8"/>
    <w:rsid w:val="008A51A8"/>
    <w:rsid w:val="008A54C7"/>
    <w:rsid w:val="008A5582"/>
    <w:rsid w:val="008A77D8"/>
    <w:rsid w:val="008B0483"/>
    <w:rsid w:val="008B0CB2"/>
    <w:rsid w:val="008B120C"/>
    <w:rsid w:val="008B4A5F"/>
    <w:rsid w:val="008B4B81"/>
    <w:rsid w:val="008B51A0"/>
    <w:rsid w:val="008B592A"/>
    <w:rsid w:val="008B7B5C"/>
    <w:rsid w:val="008C06B7"/>
    <w:rsid w:val="008C0C99"/>
    <w:rsid w:val="008C2017"/>
    <w:rsid w:val="008C3448"/>
    <w:rsid w:val="008C4958"/>
    <w:rsid w:val="008C4BAA"/>
    <w:rsid w:val="008C6AE8"/>
    <w:rsid w:val="008C7573"/>
    <w:rsid w:val="008C78D2"/>
    <w:rsid w:val="008C7B4E"/>
    <w:rsid w:val="008D00A5"/>
    <w:rsid w:val="008D34F1"/>
    <w:rsid w:val="008D39D8"/>
    <w:rsid w:val="008D5D11"/>
    <w:rsid w:val="008D6D1A"/>
    <w:rsid w:val="008D78D7"/>
    <w:rsid w:val="008D7FED"/>
    <w:rsid w:val="008E065E"/>
    <w:rsid w:val="008E0927"/>
    <w:rsid w:val="008E1909"/>
    <w:rsid w:val="008E34CF"/>
    <w:rsid w:val="008F1847"/>
    <w:rsid w:val="008F1C4E"/>
    <w:rsid w:val="008F1EAB"/>
    <w:rsid w:val="008F318A"/>
    <w:rsid w:val="008F33DC"/>
    <w:rsid w:val="008F477F"/>
    <w:rsid w:val="008F4B00"/>
    <w:rsid w:val="008F5956"/>
    <w:rsid w:val="00900159"/>
    <w:rsid w:val="00902350"/>
    <w:rsid w:val="0090336B"/>
    <w:rsid w:val="00903B92"/>
    <w:rsid w:val="00904CDD"/>
    <w:rsid w:val="009053AA"/>
    <w:rsid w:val="00906939"/>
    <w:rsid w:val="00907E7D"/>
    <w:rsid w:val="0091072A"/>
    <w:rsid w:val="00910B7D"/>
    <w:rsid w:val="0091170B"/>
    <w:rsid w:val="00911AD7"/>
    <w:rsid w:val="00911D14"/>
    <w:rsid w:val="00911DFB"/>
    <w:rsid w:val="0091315A"/>
    <w:rsid w:val="009139D9"/>
    <w:rsid w:val="00913E63"/>
    <w:rsid w:val="009149C5"/>
    <w:rsid w:val="00914AD8"/>
    <w:rsid w:val="00916079"/>
    <w:rsid w:val="0091620E"/>
    <w:rsid w:val="00917CE9"/>
    <w:rsid w:val="0092075B"/>
    <w:rsid w:val="00920950"/>
    <w:rsid w:val="00920BF2"/>
    <w:rsid w:val="00921260"/>
    <w:rsid w:val="00921DC1"/>
    <w:rsid w:val="00922010"/>
    <w:rsid w:val="009225AB"/>
    <w:rsid w:val="00923DA1"/>
    <w:rsid w:val="00925E68"/>
    <w:rsid w:val="00927E04"/>
    <w:rsid w:val="00930157"/>
    <w:rsid w:val="00931BD9"/>
    <w:rsid w:val="00932BF2"/>
    <w:rsid w:val="00935180"/>
    <w:rsid w:val="0093633C"/>
    <w:rsid w:val="009368F3"/>
    <w:rsid w:val="00941636"/>
    <w:rsid w:val="009420EA"/>
    <w:rsid w:val="00943742"/>
    <w:rsid w:val="00945C05"/>
    <w:rsid w:val="00946945"/>
    <w:rsid w:val="00947713"/>
    <w:rsid w:val="0095071D"/>
    <w:rsid w:val="00950DE7"/>
    <w:rsid w:val="00953920"/>
    <w:rsid w:val="00953D47"/>
    <w:rsid w:val="0095681E"/>
    <w:rsid w:val="009572D4"/>
    <w:rsid w:val="00960366"/>
    <w:rsid w:val="00961921"/>
    <w:rsid w:val="00962190"/>
    <w:rsid w:val="00963FEF"/>
    <w:rsid w:val="0096430A"/>
    <w:rsid w:val="00964F91"/>
    <w:rsid w:val="0096554B"/>
    <w:rsid w:val="0096584A"/>
    <w:rsid w:val="009701CA"/>
    <w:rsid w:val="00971BF0"/>
    <w:rsid w:val="00971F08"/>
    <w:rsid w:val="00973368"/>
    <w:rsid w:val="0097603D"/>
    <w:rsid w:val="00976949"/>
    <w:rsid w:val="00977E07"/>
    <w:rsid w:val="00980477"/>
    <w:rsid w:val="00981699"/>
    <w:rsid w:val="00981D9D"/>
    <w:rsid w:val="00982972"/>
    <w:rsid w:val="00983B89"/>
    <w:rsid w:val="00984A38"/>
    <w:rsid w:val="00984DBB"/>
    <w:rsid w:val="00985253"/>
    <w:rsid w:val="009853B3"/>
    <w:rsid w:val="00986517"/>
    <w:rsid w:val="00986820"/>
    <w:rsid w:val="00986DBA"/>
    <w:rsid w:val="009903AD"/>
    <w:rsid w:val="00990630"/>
    <w:rsid w:val="00991761"/>
    <w:rsid w:val="00991BF2"/>
    <w:rsid w:val="00992DAE"/>
    <w:rsid w:val="009930A9"/>
    <w:rsid w:val="00993B20"/>
    <w:rsid w:val="00994DCA"/>
    <w:rsid w:val="00995C1C"/>
    <w:rsid w:val="009960EC"/>
    <w:rsid w:val="009970DD"/>
    <w:rsid w:val="0099743C"/>
    <w:rsid w:val="009A0712"/>
    <w:rsid w:val="009A0FBA"/>
    <w:rsid w:val="009A1601"/>
    <w:rsid w:val="009A3BB6"/>
    <w:rsid w:val="009A462D"/>
    <w:rsid w:val="009A5CBA"/>
    <w:rsid w:val="009B05B7"/>
    <w:rsid w:val="009B1847"/>
    <w:rsid w:val="009B1928"/>
    <w:rsid w:val="009B1F30"/>
    <w:rsid w:val="009B3AC2"/>
    <w:rsid w:val="009B3C4F"/>
    <w:rsid w:val="009B43D2"/>
    <w:rsid w:val="009B4DF4"/>
    <w:rsid w:val="009B564E"/>
    <w:rsid w:val="009B6884"/>
    <w:rsid w:val="009B6FFC"/>
    <w:rsid w:val="009B7E87"/>
    <w:rsid w:val="009C0169"/>
    <w:rsid w:val="009C08B9"/>
    <w:rsid w:val="009C403E"/>
    <w:rsid w:val="009C7E75"/>
    <w:rsid w:val="009C7F94"/>
    <w:rsid w:val="009D4FF0"/>
    <w:rsid w:val="009D703C"/>
    <w:rsid w:val="009D718F"/>
    <w:rsid w:val="009E012D"/>
    <w:rsid w:val="009E068F"/>
    <w:rsid w:val="009E0A9E"/>
    <w:rsid w:val="009E14E0"/>
    <w:rsid w:val="009E1B3F"/>
    <w:rsid w:val="009E35DB"/>
    <w:rsid w:val="009E47A3"/>
    <w:rsid w:val="009F08F3"/>
    <w:rsid w:val="009F0CD7"/>
    <w:rsid w:val="009F2042"/>
    <w:rsid w:val="009F344F"/>
    <w:rsid w:val="009F51B0"/>
    <w:rsid w:val="009F6F2D"/>
    <w:rsid w:val="00A031D8"/>
    <w:rsid w:val="00A048A8"/>
    <w:rsid w:val="00A04F49"/>
    <w:rsid w:val="00A07FBD"/>
    <w:rsid w:val="00A13E54"/>
    <w:rsid w:val="00A14EF5"/>
    <w:rsid w:val="00A154B1"/>
    <w:rsid w:val="00A17F63"/>
    <w:rsid w:val="00A213AB"/>
    <w:rsid w:val="00A2193B"/>
    <w:rsid w:val="00A2351A"/>
    <w:rsid w:val="00A23D27"/>
    <w:rsid w:val="00A264A9"/>
    <w:rsid w:val="00A26DCF"/>
    <w:rsid w:val="00A27785"/>
    <w:rsid w:val="00A30187"/>
    <w:rsid w:val="00A3448A"/>
    <w:rsid w:val="00A35CB9"/>
    <w:rsid w:val="00A36297"/>
    <w:rsid w:val="00A41E2B"/>
    <w:rsid w:val="00A4311B"/>
    <w:rsid w:val="00A45B74"/>
    <w:rsid w:val="00A516D7"/>
    <w:rsid w:val="00A52E1D"/>
    <w:rsid w:val="00A61499"/>
    <w:rsid w:val="00A62A77"/>
    <w:rsid w:val="00A62ECB"/>
    <w:rsid w:val="00A63483"/>
    <w:rsid w:val="00A6359C"/>
    <w:rsid w:val="00A657D7"/>
    <w:rsid w:val="00A660AC"/>
    <w:rsid w:val="00A67E6C"/>
    <w:rsid w:val="00A71B99"/>
    <w:rsid w:val="00A739D0"/>
    <w:rsid w:val="00A74723"/>
    <w:rsid w:val="00A761D4"/>
    <w:rsid w:val="00A77EC4"/>
    <w:rsid w:val="00A83615"/>
    <w:rsid w:val="00A92879"/>
    <w:rsid w:val="00A93B31"/>
    <w:rsid w:val="00A9442A"/>
    <w:rsid w:val="00A95A09"/>
    <w:rsid w:val="00AA016F"/>
    <w:rsid w:val="00AA10B4"/>
    <w:rsid w:val="00AA1ED6"/>
    <w:rsid w:val="00AA2D1B"/>
    <w:rsid w:val="00AA51D6"/>
    <w:rsid w:val="00AA6D30"/>
    <w:rsid w:val="00AA782B"/>
    <w:rsid w:val="00AB0BC8"/>
    <w:rsid w:val="00AB11CA"/>
    <w:rsid w:val="00AB14D9"/>
    <w:rsid w:val="00AB38EB"/>
    <w:rsid w:val="00AB4AB8"/>
    <w:rsid w:val="00AB655E"/>
    <w:rsid w:val="00AC007F"/>
    <w:rsid w:val="00AC2ECD"/>
    <w:rsid w:val="00AC3119"/>
    <w:rsid w:val="00AC4265"/>
    <w:rsid w:val="00AC49FB"/>
    <w:rsid w:val="00AC5A10"/>
    <w:rsid w:val="00AC6C19"/>
    <w:rsid w:val="00AD0AA3"/>
    <w:rsid w:val="00AD1073"/>
    <w:rsid w:val="00AD2ED0"/>
    <w:rsid w:val="00AD3F94"/>
    <w:rsid w:val="00AD49FA"/>
    <w:rsid w:val="00AD4A5A"/>
    <w:rsid w:val="00AE0495"/>
    <w:rsid w:val="00AE1A11"/>
    <w:rsid w:val="00AE27AC"/>
    <w:rsid w:val="00AE3E6C"/>
    <w:rsid w:val="00AE40E0"/>
    <w:rsid w:val="00AE4DBA"/>
    <w:rsid w:val="00AE4EBC"/>
    <w:rsid w:val="00AE4F07"/>
    <w:rsid w:val="00AE4F5A"/>
    <w:rsid w:val="00AE5AE7"/>
    <w:rsid w:val="00AE69DE"/>
    <w:rsid w:val="00AF1C5D"/>
    <w:rsid w:val="00AF29A8"/>
    <w:rsid w:val="00AF2EE4"/>
    <w:rsid w:val="00AF3146"/>
    <w:rsid w:val="00AF326B"/>
    <w:rsid w:val="00AF42D7"/>
    <w:rsid w:val="00AF433B"/>
    <w:rsid w:val="00B006FE"/>
    <w:rsid w:val="00B007CB"/>
    <w:rsid w:val="00B01471"/>
    <w:rsid w:val="00B02AA9"/>
    <w:rsid w:val="00B02FA3"/>
    <w:rsid w:val="00B02FEE"/>
    <w:rsid w:val="00B0495F"/>
    <w:rsid w:val="00B05084"/>
    <w:rsid w:val="00B06DA6"/>
    <w:rsid w:val="00B157F9"/>
    <w:rsid w:val="00B20256"/>
    <w:rsid w:val="00B20D09"/>
    <w:rsid w:val="00B2263A"/>
    <w:rsid w:val="00B23CE9"/>
    <w:rsid w:val="00B24789"/>
    <w:rsid w:val="00B26B09"/>
    <w:rsid w:val="00B2763F"/>
    <w:rsid w:val="00B27AAC"/>
    <w:rsid w:val="00B30929"/>
    <w:rsid w:val="00B30E49"/>
    <w:rsid w:val="00B35499"/>
    <w:rsid w:val="00B372AA"/>
    <w:rsid w:val="00B40445"/>
    <w:rsid w:val="00B409E0"/>
    <w:rsid w:val="00B41888"/>
    <w:rsid w:val="00B45A52"/>
    <w:rsid w:val="00B46175"/>
    <w:rsid w:val="00B46F5A"/>
    <w:rsid w:val="00B548B7"/>
    <w:rsid w:val="00B54D0B"/>
    <w:rsid w:val="00B60E50"/>
    <w:rsid w:val="00B664C7"/>
    <w:rsid w:val="00B6671C"/>
    <w:rsid w:val="00B67D86"/>
    <w:rsid w:val="00B713D8"/>
    <w:rsid w:val="00B71BBE"/>
    <w:rsid w:val="00B7309D"/>
    <w:rsid w:val="00B7322A"/>
    <w:rsid w:val="00B739F6"/>
    <w:rsid w:val="00B74749"/>
    <w:rsid w:val="00B7534A"/>
    <w:rsid w:val="00B77FFC"/>
    <w:rsid w:val="00B81A6C"/>
    <w:rsid w:val="00B81F22"/>
    <w:rsid w:val="00B83C40"/>
    <w:rsid w:val="00B84042"/>
    <w:rsid w:val="00B8464E"/>
    <w:rsid w:val="00B85759"/>
    <w:rsid w:val="00B85C13"/>
    <w:rsid w:val="00B85DE5"/>
    <w:rsid w:val="00B90F73"/>
    <w:rsid w:val="00B93B59"/>
    <w:rsid w:val="00B9406A"/>
    <w:rsid w:val="00B97E07"/>
    <w:rsid w:val="00BA08C9"/>
    <w:rsid w:val="00BA2280"/>
    <w:rsid w:val="00BA26EE"/>
    <w:rsid w:val="00BA2A08"/>
    <w:rsid w:val="00BA56D2"/>
    <w:rsid w:val="00BA59B7"/>
    <w:rsid w:val="00BA63BB"/>
    <w:rsid w:val="00BA76E0"/>
    <w:rsid w:val="00BB1B59"/>
    <w:rsid w:val="00BB2A25"/>
    <w:rsid w:val="00BB2A42"/>
    <w:rsid w:val="00BB51E9"/>
    <w:rsid w:val="00BC0113"/>
    <w:rsid w:val="00BC0FDC"/>
    <w:rsid w:val="00BC3053"/>
    <w:rsid w:val="00BC42D1"/>
    <w:rsid w:val="00BC49FF"/>
    <w:rsid w:val="00BC4D2E"/>
    <w:rsid w:val="00BC4DD8"/>
    <w:rsid w:val="00BC50B6"/>
    <w:rsid w:val="00BC7F0D"/>
    <w:rsid w:val="00BC7FD6"/>
    <w:rsid w:val="00BD48AC"/>
    <w:rsid w:val="00BD5F1A"/>
    <w:rsid w:val="00BD71E9"/>
    <w:rsid w:val="00BE1234"/>
    <w:rsid w:val="00BE1C02"/>
    <w:rsid w:val="00BE2FA6"/>
    <w:rsid w:val="00BE333F"/>
    <w:rsid w:val="00BE459B"/>
    <w:rsid w:val="00BE7406"/>
    <w:rsid w:val="00BE7603"/>
    <w:rsid w:val="00BE7A2A"/>
    <w:rsid w:val="00BF00D4"/>
    <w:rsid w:val="00BF03D7"/>
    <w:rsid w:val="00BF3279"/>
    <w:rsid w:val="00BF3E9C"/>
    <w:rsid w:val="00BF44A0"/>
    <w:rsid w:val="00BF499A"/>
    <w:rsid w:val="00BF6B73"/>
    <w:rsid w:val="00BF74C7"/>
    <w:rsid w:val="00C015F1"/>
    <w:rsid w:val="00C017F0"/>
    <w:rsid w:val="00C01F33"/>
    <w:rsid w:val="00C02CC6"/>
    <w:rsid w:val="00C03819"/>
    <w:rsid w:val="00C040F7"/>
    <w:rsid w:val="00C044AB"/>
    <w:rsid w:val="00C04696"/>
    <w:rsid w:val="00C05553"/>
    <w:rsid w:val="00C05706"/>
    <w:rsid w:val="00C06823"/>
    <w:rsid w:val="00C07377"/>
    <w:rsid w:val="00C10478"/>
    <w:rsid w:val="00C12107"/>
    <w:rsid w:val="00C14079"/>
    <w:rsid w:val="00C14D4B"/>
    <w:rsid w:val="00C154B3"/>
    <w:rsid w:val="00C154BB"/>
    <w:rsid w:val="00C21173"/>
    <w:rsid w:val="00C215B5"/>
    <w:rsid w:val="00C21987"/>
    <w:rsid w:val="00C21A5F"/>
    <w:rsid w:val="00C23148"/>
    <w:rsid w:val="00C2616C"/>
    <w:rsid w:val="00C2626E"/>
    <w:rsid w:val="00C279B5"/>
    <w:rsid w:val="00C27C45"/>
    <w:rsid w:val="00C30728"/>
    <w:rsid w:val="00C32F6D"/>
    <w:rsid w:val="00C33192"/>
    <w:rsid w:val="00C33772"/>
    <w:rsid w:val="00C34FE7"/>
    <w:rsid w:val="00C35F87"/>
    <w:rsid w:val="00C36ED1"/>
    <w:rsid w:val="00C3719D"/>
    <w:rsid w:val="00C37CB2"/>
    <w:rsid w:val="00C433AB"/>
    <w:rsid w:val="00C44DB7"/>
    <w:rsid w:val="00C45FC0"/>
    <w:rsid w:val="00C473A5"/>
    <w:rsid w:val="00C51202"/>
    <w:rsid w:val="00C513EE"/>
    <w:rsid w:val="00C528BE"/>
    <w:rsid w:val="00C52C22"/>
    <w:rsid w:val="00C52FF3"/>
    <w:rsid w:val="00C54902"/>
    <w:rsid w:val="00C54995"/>
    <w:rsid w:val="00C54D41"/>
    <w:rsid w:val="00C60783"/>
    <w:rsid w:val="00C60C7E"/>
    <w:rsid w:val="00C61EAC"/>
    <w:rsid w:val="00C62233"/>
    <w:rsid w:val="00C64468"/>
    <w:rsid w:val="00C64672"/>
    <w:rsid w:val="00C64D81"/>
    <w:rsid w:val="00C653AD"/>
    <w:rsid w:val="00C67512"/>
    <w:rsid w:val="00C70697"/>
    <w:rsid w:val="00C7095F"/>
    <w:rsid w:val="00C70CA7"/>
    <w:rsid w:val="00C72093"/>
    <w:rsid w:val="00C72EF4"/>
    <w:rsid w:val="00C744FE"/>
    <w:rsid w:val="00C75D2F"/>
    <w:rsid w:val="00C767BE"/>
    <w:rsid w:val="00C76E3C"/>
    <w:rsid w:val="00C80273"/>
    <w:rsid w:val="00C80CF5"/>
    <w:rsid w:val="00C81568"/>
    <w:rsid w:val="00C9027A"/>
    <w:rsid w:val="00C9068E"/>
    <w:rsid w:val="00C91EC1"/>
    <w:rsid w:val="00C931E4"/>
    <w:rsid w:val="00C931F4"/>
    <w:rsid w:val="00C93814"/>
    <w:rsid w:val="00C93C4B"/>
    <w:rsid w:val="00C940A4"/>
    <w:rsid w:val="00C944AB"/>
    <w:rsid w:val="00C94C55"/>
    <w:rsid w:val="00C95242"/>
    <w:rsid w:val="00C95B40"/>
    <w:rsid w:val="00C96B7C"/>
    <w:rsid w:val="00CA0B0B"/>
    <w:rsid w:val="00CA1ED8"/>
    <w:rsid w:val="00CA6883"/>
    <w:rsid w:val="00CB1BEE"/>
    <w:rsid w:val="00CB1D69"/>
    <w:rsid w:val="00CB1F63"/>
    <w:rsid w:val="00CB34D7"/>
    <w:rsid w:val="00CB7170"/>
    <w:rsid w:val="00CB7E21"/>
    <w:rsid w:val="00CC040E"/>
    <w:rsid w:val="00CC111F"/>
    <w:rsid w:val="00CC2011"/>
    <w:rsid w:val="00CC3EA0"/>
    <w:rsid w:val="00CC6240"/>
    <w:rsid w:val="00CC7B45"/>
    <w:rsid w:val="00CD1188"/>
    <w:rsid w:val="00CD24B3"/>
    <w:rsid w:val="00CD2ED1"/>
    <w:rsid w:val="00CD337B"/>
    <w:rsid w:val="00CD3F93"/>
    <w:rsid w:val="00CD3FAC"/>
    <w:rsid w:val="00CE0424"/>
    <w:rsid w:val="00CE3AEA"/>
    <w:rsid w:val="00CE55F7"/>
    <w:rsid w:val="00CE701C"/>
    <w:rsid w:val="00CE74AF"/>
    <w:rsid w:val="00CE7561"/>
    <w:rsid w:val="00CE774D"/>
    <w:rsid w:val="00CE7A5B"/>
    <w:rsid w:val="00CF1354"/>
    <w:rsid w:val="00CF3B1F"/>
    <w:rsid w:val="00CF3BF6"/>
    <w:rsid w:val="00CF4E2C"/>
    <w:rsid w:val="00CF51EC"/>
    <w:rsid w:val="00CF5C56"/>
    <w:rsid w:val="00CF625B"/>
    <w:rsid w:val="00CF687E"/>
    <w:rsid w:val="00CF71AF"/>
    <w:rsid w:val="00D033A4"/>
    <w:rsid w:val="00D0349B"/>
    <w:rsid w:val="00D03D41"/>
    <w:rsid w:val="00D03D81"/>
    <w:rsid w:val="00D05028"/>
    <w:rsid w:val="00D10249"/>
    <w:rsid w:val="00D10C9B"/>
    <w:rsid w:val="00D115C3"/>
    <w:rsid w:val="00D11825"/>
    <w:rsid w:val="00D11897"/>
    <w:rsid w:val="00D13135"/>
    <w:rsid w:val="00D13E24"/>
    <w:rsid w:val="00D13E4E"/>
    <w:rsid w:val="00D15B46"/>
    <w:rsid w:val="00D1797C"/>
    <w:rsid w:val="00D210FB"/>
    <w:rsid w:val="00D21220"/>
    <w:rsid w:val="00D224AB"/>
    <w:rsid w:val="00D22E03"/>
    <w:rsid w:val="00D239A7"/>
    <w:rsid w:val="00D23F47"/>
    <w:rsid w:val="00D2620D"/>
    <w:rsid w:val="00D30142"/>
    <w:rsid w:val="00D30579"/>
    <w:rsid w:val="00D332A2"/>
    <w:rsid w:val="00D33CE6"/>
    <w:rsid w:val="00D36E71"/>
    <w:rsid w:val="00D37D87"/>
    <w:rsid w:val="00D37E06"/>
    <w:rsid w:val="00D37F8B"/>
    <w:rsid w:val="00D40B33"/>
    <w:rsid w:val="00D40F04"/>
    <w:rsid w:val="00D41C1A"/>
    <w:rsid w:val="00D4318F"/>
    <w:rsid w:val="00D438BF"/>
    <w:rsid w:val="00D43AD3"/>
    <w:rsid w:val="00D440F8"/>
    <w:rsid w:val="00D4621D"/>
    <w:rsid w:val="00D50AC7"/>
    <w:rsid w:val="00D5329C"/>
    <w:rsid w:val="00D546FF"/>
    <w:rsid w:val="00D55AD5"/>
    <w:rsid w:val="00D576CA"/>
    <w:rsid w:val="00D6080D"/>
    <w:rsid w:val="00D6131D"/>
    <w:rsid w:val="00D61AF5"/>
    <w:rsid w:val="00D6275E"/>
    <w:rsid w:val="00D63334"/>
    <w:rsid w:val="00D652B5"/>
    <w:rsid w:val="00D66155"/>
    <w:rsid w:val="00D66A52"/>
    <w:rsid w:val="00D66AD1"/>
    <w:rsid w:val="00D708B0"/>
    <w:rsid w:val="00D71709"/>
    <w:rsid w:val="00D7367D"/>
    <w:rsid w:val="00D736FF"/>
    <w:rsid w:val="00D74083"/>
    <w:rsid w:val="00D75547"/>
    <w:rsid w:val="00D77B1D"/>
    <w:rsid w:val="00D8021F"/>
    <w:rsid w:val="00D80383"/>
    <w:rsid w:val="00D80B4B"/>
    <w:rsid w:val="00D816C2"/>
    <w:rsid w:val="00D81A4D"/>
    <w:rsid w:val="00D823C6"/>
    <w:rsid w:val="00D8327F"/>
    <w:rsid w:val="00D837CF"/>
    <w:rsid w:val="00D86CA3"/>
    <w:rsid w:val="00D871CE"/>
    <w:rsid w:val="00D87309"/>
    <w:rsid w:val="00D9196D"/>
    <w:rsid w:val="00D92982"/>
    <w:rsid w:val="00D92E64"/>
    <w:rsid w:val="00D93222"/>
    <w:rsid w:val="00D942EA"/>
    <w:rsid w:val="00D94DC8"/>
    <w:rsid w:val="00D95A86"/>
    <w:rsid w:val="00DA25A7"/>
    <w:rsid w:val="00DA305E"/>
    <w:rsid w:val="00DA5417"/>
    <w:rsid w:val="00DA56E8"/>
    <w:rsid w:val="00DA5DC2"/>
    <w:rsid w:val="00DA6E13"/>
    <w:rsid w:val="00DB0A9F"/>
    <w:rsid w:val="00DB20B6"/>
    <w:rsid w:val="00DB377D"/>
    <w:rsid w:val="00DB3AD8"/>
    <w:rsid w:val="00DB6974"/>
    <w:rsid w:val="00DC0354"/>
    <w:rsid w:val="00DC0B08"/>
    <w:rsid w:val="00DC2D36"/>
    <w:rsid w:val="00DC4837"/>
    <w:rsid w:val="00DC4A17"/>
    <w:rsid w:val="00DC53EF"/>
    <w:rsid w:val="00DD1AFB"/>
    <w:rsid w:val="00DD4183"/>
    <w:rsid w:val="00DD48DE"/>
    <w:rsid w:val="00DD5F27"/>
    <w:rsid w:val="00DD7AAF"/>
    <w:rsid w:val="00DE0301"/>
    <w:rsid w:val="00DE1320"/>
    <w:rsid w:val="00DE1480"/>
    <w:rsid w:val="00DE5608"/>
    <w:rsid w:val="00DE58D0"/>
    <w:rsid w:val="00DE6475"/>
    <w:rsid w:val="00DE654F"/>
    <w:rsid w:val="00DE7A7E"/>
    <w:rsid w:val="00DF014C"/>
    <w:rsid w:val="00DF0B6E"/>
    <w:rsid w:val="00DF15E0"/>
    <w:rsid w:val="00DF245B"/>
    <w:rsid w:val="00DF37A0"/>
    <w:rsid w:val="00DF476A"/>
    <w:rsid w:val="00DF490B"/>
    <w:rsid w:val="00E0716E"/>
    <w:rsid w:val="00E07738"/>
    <w:rsid w:val="00E110E7"/>
    <w:rsid w:val="00E115D1"/>
    <w:rsid w:val="00E11B20"/>
    <w:rsid w:val="00E1202E"/>
    <w:rsid w:val="00E13001"/>
    <w:rsid w:val="00E15AA8"/>
    <w:rsid w:val="00E17662"/>
    <w:rsid w:val="00E17FA2"/>
    <w:rsid w:val="00E22330"/>
    <w:rsid w:val="00E25878"/>
    <w:rsid w:val="00E30B5A"/>
    <w:rsid w:val="00E3123D"/>
    <w:rsid w:val="00E31461"/>
    <w:rsid w:val="00E31D43"/>
    <w:rsid w:val="00E324B5"/>
    <w:rsid w:val="00E32608"/>
    <w:rsid w:val="00E34188"/>
    <w:rsid w:val="00E34B6E"/>
    <w:rsid w:val="00E34C00"/>
    <w:rsid w:val="00E35559"/>
    <w:rsid w:val="00E3723A"/>
    <w:rsid w:val="00E37860"/>
    <w:rsid w:val="00E41416"/>
    <w:rsid w:val="00E42A9C"/>
    <w:rsid w:val="00E43B63"/>
    <w:rsid w:val="00E446F1"/>
    <w:rsid w:val="00E464D9"/>
    <w:rsid w:val="00E46584"/>
    <w:rsid w:val="00E46886"/>
    <w:rsid w:val="00E47810"/>
    <w:rsid w:val="00E479B9"/>
    <w:rsid w:val="00E47AEF"/>
    <w:rsid w:val="00E50C1C"/>
    <w:rsid w:val="00E510A1"/>
    <w:rsid w:val="00E5392F"/>
    <w:rsid w:val="00E53B75"/>
    <w:rsid w:val="00E54E3B"/>
    <w:rsid w:val="00E57565"/>
    <w:rsid w:val="00E57ADC"/>
    <w:rsid w:val="00E63838"/>
    <w:rsid w:val="00E64434"/>
    <w:rsid w:val="00E66E1B"/>
    <w:rsid w:val="00E67C51"/>
    <w:rsid w:val="00E70979"/>
    <w:rsid w:val="00E72128"/>
    <w:rsid w:val="00E72EFC"/>
    <w:rsid w:val="00E758EC"/>
    <w:rsid w:val="00E8059F"/>
    <w:rsid w:val="00E81357"/>
    <w:rsid w:val="00E8176A"/>
    <w:rsid w:val="00E820AD"/>
    <w:rsid w:val="00E8234C"/>
    <w:rsid w:val="00E83AA9"/>
    <w:rsid w:val="00E85928"/>
    <w:rsid w:val="00E87822"/>
    <w:rsid w:val="00E90395"/>
    <w:rsid w:val="00E90E49"/>
    <w:rsid w:val="00E917F9"/>
    <w:rsid w:val="00E9291C"/>
    <w:rsid w:val="00E92EF9"/>
    <w:rsid w:val="00E93FFE"/>
    <w:rsid w:val="00E94050"/>
    <w:rsid w:val="00E94F8A"/>
    <w:rsid w:val="00E966B2"/>
    <w:rsid w:val="00E96974"/>
    <w:rsid w:val="00E96A3D"/>
    <w:rsid w:val="00EA3276"/>
    <w:rsid w:val="00EA3523"/>
    <w:rsid w:val="00EA3FB5"/>
    <w:rsid w:val="00EA409B"/>
    <w:rsid w:val="00EA7602"/>
    <w:rsid w:val="00EA7A41"/>
    <w:rsid w:val="00EA7BF8"/>
    <w:rsid w:val="00EB077B"/>
    <w:rsid w:val="00EB4EA2"/>
    <w:rsid w:val="00EB5A54"/>
    <w:rsid w:val="00EC01CA"/>
    <w:rsid w:val="00EC24D5"/>
    <w:rsid w:val="00EC27C6"/>
    <w:rsid w:val="00EC32EB"/>
    <w:rsid w:val="00EC4207"/>
    <w:rsid w:val="00EC53AE"/>
    <w:rsid w:val="00EC5653"/>
    <w:rsid w:val="00EC71CE"/>
    <w:rsid w:val="00ED0FF6"/>
    <w:rsid w:val="00ED1006"/>
    <w:rsid w:val="00ED3DE4"/>
    <w:rsid w:val="00ED455F"/>
    <w:rsid w:val="00ED6838"/>
    <w:rsid w:val="00ED6C78"/>
    <w:rsid w:val="00EE2103"/>
    <w:rsid w:val="00EE503B"/>
    <w:rsid w:val="00EE7171"/>
    <w:rsid w:val="00EF18FE"/>
    <w:rsid w:val="00EF32F9"/>
    <w:rsid w:val="00EF5787"/>
    <w:rsid w:val="00EF5E1A"/>
    <w:rsid w:val="00EF6011"/>
    <w:rsid w:val="00EF60D0"/>
    <w:rsid w:val="00F00554"/>
    <w:rsid w:val="00F027B4"/>
    <w:rsid w:val="00F0528D"/>
    <w:rsid w:val="00F06C67"/>
    <w:rsid w:val="00F06DFD"/>
    <w:rsid w:val="00F071D1"/>
    <w:rsid w:val="00F07533"/>
    <w:rsid w:val="00F07D4C"/>
    <w:rsid w:val="00F07F5F"/>
    <w:rsid w:val="00F10629"/>
    <w:rsid w:val="00F13013"/>
    <w:rsid w:val="00F14829"/>
    <w:rsid w:val="00F15FA5"/>
    <w:rsid w:val="00F209B7"/>
    <w:rsid w:val="00F21C56"/>
    <w:rsid w:val="00F2376F"/>
    <w:rsid w:val="00F243D8"/>
    <w:rsid w:val="00F30828"/>
    <w:rsid w:val="00F313D6"/>
    <w:rsid w:val="00F33335"/>
    <w:rsid w:val="00F34343"/>
    <w:rsid w:val="00F3485D"/>
    <w:rsid w:val="00F362C4"/>
    <w:rsid w:val="00F404DF"/>
    <w:rsid w:val="00F40F0C"/>
    <w:rsid w:val="00F4766C"/>
    <w:rsid w:val="00F5060E"/>
    <w:rsid w:val="00F507D1"/>
    <w:rsid w:val="00F519CE"/>
    <w:rsid w:val="00F51ADA"/>
    <w:rsid w:val="00F545CB"/>
    <w:rsid w:val="00F57895"/>
    <w:rsid w:val="00F60203"/>
    <w:rsid w:val="00F607C5"/>
    <w:rsid w:val="00F60DEA"/>
    <w:rsid w:val="00F62AD0"/>
    <w:rsid w:val="00F62C11"/>
    <w:rsid w:val="00F6302A"/>
    <w:rsid w:val="00F63050"/>
    <w:rsid w:val="00F63950"/>
    <w:rsid w:val="00F6496B"/>
    <w:rsid w:val="00F64C2B"/>
    <w:rsid w:val="00F651BE"/>
    <w:rsid w:val="00F65CA1"/>
    <w:rsid w:val="00F67B63"/>
    <w:rsid w:val="00F67F53"/>
    <w:rsid w:val="00F703BE"/>
    <w:rsid w:val="00F71F69"/>
    <w:rsid w:val="00F72B72"/>
    <w:rsid w:val="00F73353"/>
    <w:rsid w:val="00F74BB9"/>
    <w:rsid w:val="00F74D09"/>
    <w:rsid w:val="00F752F0"/>
    <w:rsid w:val="00F75582"/>
    <w:rsid w:val="00F7558E"/>
    <w:rsid w:val="00F76673"/>
    <w:rsid w:val="00F76EFA"/>
    <w:rsid w:val="00F77121"/>
    <w:rsid w:val="00F774FC"/>
    <w:rsid w:val="00F77747"/>
    <w:rsid w:val="00F77B2A"/>
    <w:rsid w:val="00F804BE"/>
    <w:rsid w:val="00F813E1"/>
    <w:rsid w:val="00F817CE"/>
    <w:rsid w:val="00F82DD8"/>
    <w:rsid w:val="00F830C2"/>
    <w:rsid w:val="00F83A18"/>
    <w:rsid w:val="00F8456C"/>
    <w:rsid w:val="00F85331"/>
    <w:rsid w:val="00F859D8"/>
    <w:rsid w:val="00F868F5"/>
    <w:rsid w:val="00F9056A"/>
    <w:rsid w:val="00F90F8D"/>
    <w:rsid w:val="00F92782"/>
    <w:rsid w:val="00F93AA9"/>
    <w:rsid w:val="00F95197"/>
    <w:rsid w:val="00F955C1"/>
    <w:rsid w:val="00F96985"/>
    <w:rsid w:val="00F96F7D"/>
    <w:rsid w:val="00F97830"/>
    <w:rsid w:val="00F97838"/>
    <w:rsid w:val="00FA02EC"/>
    <w:rsid w:val="00FA2BB3"/>
    <w:rsid w:val="00FA3ADB"/>
    <w:rsid w:val="00FB0D18"/>
    <w:rsid w:val="00FB4C80"/>
    <w:rsid w:val="00FB4FC1"/>
    <w:rsid w:val="00FB61C5"/>
    <w:rsid w:val="00FB6A6A"/>
    <w:rsid w:val="00FB7485"/>
    <w:rsid w:val="00FC001A"/>
    <w:rsid w:val="00FC1378"/>
    <w:rsid w:val="00FC1FEA"/>
    <w:rsid w:val="00FC21F7"/>
    <w:rsid w:val="00FC37AD"/>
    <w:rsid w:val="00FC37E4"/>
    <w:rsid w:val="00FC42BA"/>
    <w:rsid w:val="00FC4BFD"/>
    <w:rsid w:val="00FC7429"/>
    <w:rsid w:val="00FD06A7"/>
    <w:rsid w:val="00FD07F6"/>
    <w:rsid w:val="00FD0BFC"/>
    <w:rsid w:val="00FD1152"/>
    <w:rsid w:val="00FD1163"/>
    <w:rsid w:val="00FD1EC8"/>
    <w:rsid w:val="00FD47ED"/>
    <w:rsid w:val="00FD4BD2"/>
    <w:rsid w:val="00FD4C85"/>
    <w:rsid w:val="00FD74DB"/>
    <w:rsid w:val="00FD7660"/>
    <w:rsid w:val="00FE0550"/>
    <w:rsid w:val="00FE0655"/>
    <w:rsid w:val="00FE2365"/>
    <w:rsid w:val="00FE292C"/>
    <w:rsid w:val="00FE37D7"/>
    <w:rsid w:val="00FE4C7B"/>
    <w:rsid w:val="00FE6666"/>
    <w:rsid w:val="00FE7336"/>
    <w:rsid w:val="00FE787C"/>
    <w:rsid w:val="00FF38E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14467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3B639C"/>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9903AD"/>
    <w:pPr>
      <w:numPr>
        <w:numId w:val="3"/>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F63050"/>
    <w:rPr>
      <w:rFonts w:ascii="Arial" w:eastAsiaTheme="minorHAnsi" w:hAnsi="Arial" w:cstheme="minorBidi"/>
      <w:szCs w:val="22"/>
      <w:lang w:val="en-US" w:eastAsia="en-US"/>
    </w:rPr>
  </w:style>
  <w:style w:type="paragraph" w:styleId="Title">
    <w:name w:val="Title"/>
    <w:basedOn w:val="Normal"/>
    <w:next w:val="Normal"/>
    <w:link w:val="TitleChar"/>
    <w:qFormat/>
    <w:rsid w:val="009903A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903AD"/>
    <w:rPr>
      <w:rFonts w:asciiTheme="majorHAnsi" w:eastAsiaTheme="majorEastAsia" w:hAnsiTheme="majorHAnsi" w:cstheme="majorBidi"/>
      <w:spacing w:val="-10"/>
      <w:kern w:val="28"/>
      <w:sz w:val="56"/>
      <w:szCs w:val="5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4144468">
      <w:bodyDiv w:val="1"/>
      <w:marLeft w:val="0"/>
      <w:marRight w:val="0"/>
      <w:marTop w:val="0"/>
      <w:marBottom w:val="0"/>
      <w:divBdr>
        <w:top w:val="none" w:sz="0" w:space="0" w:color="auto"/>
        <w:left w:val="none" w:sz="0" w:space="0" w:color="auto"/>
        <w:bottom w:val="none" w:sz="0" w:space="0" w:color="auto"/>
        <w:right w:val="none" w:sz="0" w:space="0" w:color="auto"/>
      </w:divBdr>
      <w:divsChild>
        <w:div w:id="400106958">
          <w:marLeft w:val="1080"/>
          <w:marRight w:val="0"/>
          <w:marTop w:val="100"/>
          <w:marBottom w:val="0"/>
          <w:divBdr>
            <w:top w:val="none" w:sz="0" w:space="0" w:color="auto"/>
            <w:left w:val="none" w:sz="0" w:space="0" w:color="auto"/>
            <w:bottom w:val="none" w:sz="0" w:space="0" w:color="auto"/>
            <w:right w:val="none" w:sz="0" w:space="0" w:color="auto"/>
          </w:divBdr>
        </w:div>
        <w:div w:id="449206562">
          <w:marLeft w:val="1080"/>
          <w:marRight w:val="0"/>
          <w:marTop w:val="100"/>
          <w:marBottom w:val="0"/>
          <w:divBdr>
            <w:top w:val="none" w:sz="0" w:space="0" w:color="auto"/>
            <w:left w:val="none" w:sz="0" w:space="0" w:color="auto"/>
            <w:bottom w:val="none" w:sz="0" w:space="0" w:color="auto"/>
            <w:right w:val="none" w:sz="0" w:space="0" w:color="auto"/>
          </w:divBdr>
        </w:div>
        <w:div w:id="942810641">
          <w:marLeft w:val="1080"/>
          <w:marRight w:val="0"/>
          <w:marTop w:val="100"/>
          <w:marBottom w:val="0"/>
          <w:divBdr>
            <w:top w:val="none" w:sz="0" w:space="0" w:color="auto"/>
            <w:left w:val="none" w:sz="0" w:space="0" w:color="auto"/>
            <w:bottom w:val="none" w:sz="0" w:space="0" w:color="auto"/>
            <w:right w:val="none" w:sz="0" w:space="0" w:color="auto"/>
          </w:divBdr>
        </w:div>
        <w:div w:id="1332641501">
          <w:marLeft w:val="1080"/>
          <w:marRight w:val="0"/>
          <w:marTop w:val="100"/>
          <w:marBottom w:val="0"/>
          <w:divBdr>
            <w:top w:val="none" w:sz="0" w:space="0" w:color="auto"/>
            <w:left w:val="none" w:sz="0" w:space="0" w:color="auto"/>
            <w:bottom w:val="none" w:sz="0" w:space="0" w:color="auto"/>
            <w:right w:val="none" w:sz="0" w:space="0" w:color="auto"/>
          </w:divBdr>
        </w:div>
        <w:div w:id="1473210343">
          <w:marLeft w:val="1080"/>
          <w:marRight w:val="0"/>
          <w:marTop w:val="100"/>
          <w:marBottom w:val="0"/>
          <w:divBdr>
            <w:top w:val="none" w:sz="0" w:space="0" w:color="auto"/>
            <w:left w:val="none" w:sz="0" w:space="0" w:color="auto"/>
            <w:bottom w:val="none" w:sz="0" w:space="0" w:color="auto"/>
            <w:right w:val="none" w:sz="0" w:space="0" w:color="auto"/>
          </w:divBdr>
        </w:div>
      </w:divsChild>
    </w:div>
    <w:div w:id="719784297">
      <w:bodyDiv w:val="1"/>
      <w:marLeft w:val="0"/>
      <w:marRight w:val="0"/>
      <w:marTop w:val="0"/>
      <w:marBottom w:val="0"/>
      <w:divBdr>
        <w:top w:val="none" w:sz="0" w:space="0" w:color="auto"/>
        <w:left w:val="none" w:sz="0" w:space="0" w:color="auto"/>
        <w:bottom w:val="none" w:sz="0" w:space="0" w:color="auto"/>
        <w:right w:val="none" w:sz="0" w:space="0" w:color="auto"/>
      </w:divBdr>
    </w:div>
    <w:div w:id="854655613">
      <w:bodyDiv w:val="1"/>
      <w:marLeft w:val="0"/>
      <w:marRight w:val="0"/>
      <w:marTop w:val="0"/>
      <w:marBottom w:val="0"/>
      <w:divBdr>
        <w:top w:val="none" w:sz="0" w:space="0" w:color="auto"/>
        <w:left w:val="none" w:sz="0" w:space="0" w:color="auto"/>
        <w:bottom w:val="none" w:sz="0" w:space="0" w:color="auto"/>
        <w:right w:val="none" w:sz="0" w:space="0" w:color="auto"/>
      </w:divBdr>
      <w:divsChild>
        <w:div w:id="143813102">
          <w:marLeft w:val="1800"/>
          <w:marRight w:val="0"/>
          <w:marTop w:val="100"/>
          <w:marBottom w:val="0"/>
          <w:divBdr>
            <w:top w:val="none" w:sz="0" w:space="0" w:color="auto"/>
            <w:left w:val="none" w:sz="0" w:space="0" w:color="auto"/>
            <w:bottom w:val="none" w:sz="0" w:space="0" w:color="auto"/>
            <w:right w:val="none" w:sz="0" w:space="0" w:color="auto"/>
          </w:divBdr>
        </w:div>
        <w:div w:id="283273886">
          <w:marLeft w:val="1080"/>
          <w:marRight w:val="0"/>
          <w:marTop w:val="100"/>
          <w:marBottom w:val="0"/>
          <w:divBdr>
            <w:top w:val="none" w:sz="0" w:space="0" w:color="auto"/>
            <w:left w:val="none" w:sz="0" w:space="0" w:color="auto"/>
            <w:bottom w:val="none" w:sz="0" w:space="0" w:color="auto"/>
            <w:right w:val="none" w:sz="0" w:space="0" w:color="auto"/>
          </w:divBdr>
        </w:div>
        <w:div w:id="591669428">
          <w:marLeft w:val="1080"/>
          <w:marRight w:val="0"/>
          <w:marTop w:val="100"/>
          <w:marBottom w:val="0"/>
          <w:divBdr>
            <w:top w:val="none" w:sz="0" w:space="0" w:color="auto"/>
            <w:left w:val="none" w:sz="0" w:space="0" w:color="auto"/>
            <w:bottom w:val="none" w:sz="0" w:space="0" w:color="auto"/>
            <w:right w:val="none" w:sz="0" w:space="0" w:color="auto"/>
          </w:divBdr>
        </w:div>
        <w:div w:id="1344747986">
          <w:marLeft w:val="1080"/>
          <w:marRight w:val="0"/>
          <w:marTop w:val="100"/>
          <w:marBottom w:val="0"/>
          <w:divBdr>
            <w:top w:val="none" w:sz="0" w:space="0" w:color="auto"/>
            <w:left w:val="none" w:sz="0" w:space="0" w:color="auto"/>
            <w:bottom w:val="none" w:sz="0" w:space="0" w:color="auto"/>
            <w:right w:val="none" w:sz="0" w:space="0" w:color="auto"/>
          </w:divBdr>
        </w:div>
        <w:div w:id="1429232971">
          <w:marLeft w:val="1080"/>
          <w:marRight w:val="0"/>
          <w:marTop w:val="100"/>
          <w:marBottom w:val="0"/>
          <w:divBdr>
            <w:top w:val="none" w:sz="0" w:space="0" w:color="auto"/>
            <w:left w:val="none" w:sz="0" w:space="0" w:color="auto"/>
            <w:bottom w:val="none" w:sz="0" w:space="0" w:color="auto"/>
            <w:right w:val="none" w:sz="0" w:space="0" w:color="auto"/>
          </w:divBdr>
        </w:div>
        <w:div w:id="1489051225">
          <w:marLeft w:val="1080"/>
          <w:marRight w:val="0"/>
          <w:marTop w:val="100"/>
          <w:marBottom w:val="0"/>
          <w:divBdr>
            <w:top w:val="none" w:sz="0" w:space="0" w:color="auto"/>
            <w:left w:val="none" w:sz="0" w:space="0" w:color="auto"/>
            <w:bottom w:val="none" w:sz="0" w:space="0" w:color="auto"/>
            <w:right w:val="none" w:sz="0" w:space="0" w:color="auto"/>
          </w:divBdr>
        </w:div>
        <w:div w:id="1762722120">
          <w:marLeft w:val="1080"/>
          <w:marRight w:val="0"/>
          <w:marTop w:val="100"/>
          <w:marBottom w:val="0"/>
          <w:divBdr>
            <w:top w:val="none" w:sz="0" w:space="0" w:color="auto"/>
            <w:left w:val="none" w:sz="0" w:space="0" w:color="auto"/>
            <w:bottom w:val="none" w:sz="0" w:space="0" w:color="auto"/>
            <w:right w:val="none" w:sz="0" w:space="0" w:color="auto"/>
          </w:divBdr>
        </w:div>
        <w:div w:id="2029016071">
          <w:marLeft w:val="1080"/>
          <w:marRight w:val="0"/>
          <w:marTop w:val="100"/>
          <w:marBottom w:val="0"/>
          <w:divBdr>
            <w:top w:val="none" w:sz="0" w:space="0" w:color="auto"/>
            <w:left w:val="none" w:sz="0" w:space="0" w:color="auto"/>
            <w:bottom w:val="none" w:sz="0" w:space="0" w:color="auto"/>
            <w:right w:val="none" w:sz="0" w:space="0" w:color="auto"/>
          </w:divBdr>
        </w:div>
      </w:divsChild>
    </w:div>
    <w:div w:id="1157771081">
      <w:bodyDiv w:val="1"/>
      <w:marLeft w:val="0"/>
      <w:marRight w:val="0"/>
      <w:marTop w:val="0"/>
      <w:marBottom w:val="0"/>
      <w:divBdr>
        <w:top w:val="none" w:sz="0" w:space="0" w:color="auto"/>
        <w:left w:val="none" w:sz="0" w:space="0" w:color="auto"/>
        <w:bottom w:val="none" w:sz="0" w:space="0" w:color="auto"/>
        <w:right w:val="none" w:sz="0" w:space="0" w:color="auto"/>
      </w:divBdr>
      <w:divsChild>
        <w:div w:id="1544558699">
          <w:marLeft w:val="360"/>
          <w:marRight w:val="0"/>
          <w:marTop w:val="200"/>
          <w:marBottom w:val="0"/>
          <w:divBdr>
            <w:top w:val="none" w:sz="0" w:space="0" w:color="auto"/>
            <w:left w:val="none" w:sz="0" w:space="0" w:color="auto"/>
            <w:bottom w:val="none" w:sz="0" w:space="0" w:color="auto"/>
            <w:right w:val="none" w:sz="0" w:space="0" w:color="auto"/>
          </w:divBdr>
        </w:div>
      </w:divsChild>
    </w:div>
    <w:div w:id="1677415615">
      <w:bodyDiv w:val="1"/>
      <w:marLeft w:val="0"/>
      <w:marRight w:val="0"/>
      <w:marTop w:val="0"/>
      <w:marBottom w:val="0"/>
      <w:divBdr>
        <w:top w:val="none" w:sz="0" w:space="0" w:color="auto"/>
        <w:left w:val="none" w:sz="0" w:space="0" w:color="auto"/>
        <w:bottom w:val="none" w:sz="0" w:space="0" w:color="auto"/>
        <w:right w:val="none" w:sz="0" w:space="0" w:color="auto"/>
      </w:divBdr>
      <w:divsChild>
        <w:div w:id="197622872">
          <w:marLeft w:val="1080"/>
          <w:marRight w:val="0"/>
          <w:marTop w:val="100"/>
          <w:marBottom w:val="0"/>
          <w:divBdr>
            <w:top w:val="none" w:sz="0" w:space="0" w:color="auto"/>
            <w:left w:val="none" w:sz="0" w:space="0" w:color="auto"/>
            <w:bottom w:val="none" w:sz="0" w:space="0" w:color="auto"/>
            <w:right w:val="none" w:sz="0" w:space="0" w:color="auto"/>
          </w:divBdr>
        </w:div>
        <w:div w:id="1767924133">
          <w:marLeft w:val="1080"/>
          <w:marRight w:val="0"/>
          <w:marTop w:val="100"/>
          <w:marBottom w:val="0"/>
          <w:divBdr>
            <w:top w:val="none" w:sz="0" w:space="0" w:color="auto"/>
            <w:left w:val="none" w:sz="0" w:space="0" w:color="auto"/>
            <w:bottom w:val="none" w:sz="0" w:space="0" w:color="auto"/>
            <w:right w:val="none" w:sz="0" w:space="0" w:color="auto"/>
          </w:divBdr>
        </w:div>
        <w:div w:id="1865560455">
          <w:marLeft w:val="1080"/>
          <w:marRight w:val="0"/>
          <w:marTop w:val="100"/>
          <w:marBottom w:val="0"/>
          <w:divBdr>
            <w:top w:val="none" w:sz="0" w:space="0" w:color="auto"/>
            <w:left w:val="none" w:sz="0" w:space="0" w:color="auto"/>
            <w:bottom w:val="none" w:sz="0" w:space="0" w:color="auto"/>
            <w:right w:val="none" w:sz="0" w:space="0" w:color="auto"/>
          </w:divBdr>
        </w:div>
        <w:div w:id="2063088803">
          <w:marLeft w:val="1080"/>
          <w:marRight w:val="0"/>
          <w:marTop w:val="100"/>
          <w:marBottom w:val="0"/>
          <w:divBdr>
            <w:top w:val="none" w:sz="0" w:space="0" w:color="auto"/>
            <w:left w:val="none" w:sz="0" w:space="0" w:color="auto"/>
            <w:bottom w:val="none" w:sz="0" w:space="0" w:color="auto"/>
            <w:right w:val="none" w:sz="0" w:space="0" w:color="auto"/>
          </w:divBdr>
        </w:div>
      </w:divsChild>
    </w:div>
    <w:div w:id="1890995541">
      <w:bodyDiv w:val="1"/>
      <w:marLeft w:val="0"/>
      <w:marRight w:val="0"/>
      <w:marTop w:val="0"/>
      <w:marBottom w:val="0"/>
      <w:divBdr>
        <w:top w:val="none" w:sz="0" w:space="0" w:color="auto"/>
        <w:left w:val="none" w:sz="0" w:space="0" w:color="auto"/>
        <w:bottom w:val="none" w:sz="0" w:space="0" w:color="auto"/>
        <w:right w:val="none" w:sz="0" w:space="0" w:color="auto"/>
      </w:divBdr>
      <w:divsChild>
        <w:div w:id="1809855214">
          <w:marLeft w:val="0"/>
          <w:marRight w:val="0"/>
          <w:marTop w:val="0"/>
          <w:marBottom w:val="0"/>
          <w:divBdr>
            <w:top w:val="none" w:sz="0" w:space="0" w:color="auto"/>
            <w:left w:val="none" w:sz="0" w:space="0" w:color="auto"/>
            <w:bottom w:val="none" w:sz="0" w:space="0" w:color="auto"/>
            <w:right w:val="none" w:sz="0" w:space="0" w:color="auto"/>
          </w:divBdr>
        </w:div>
      </w:divsChild>
    </w:div>
    <w:div w:id="2055083344">
      <w:bodyDiv w:val="1"/>
      <w:marLeft w:val="0"/>
      <w:marRight w:val="0"/>
      <w:marTop w:val="0"/>
      <w:marBottom w:val="0"/>
      <w:divBdr>
        <w:top w:val="none" w:sz="0" w:space="0" w:color="auto"/>
        <w:left w:val="none" w:sz="0" w:space="0" w:color="auto"/>
        <w:bottom w:val="none" w:sz="0" w:space="0" w:color="auto"/>
        <w:right w:val="none" w:sz="0" w:space="0" w:color="auto"/>
      </w:divBdr>
      <w:divsChild>
        <w:div w:id="157424099">
          <w:marLeft w:val="1800"/>
          <w:marRight w:val="0"/>
          <w:marTop w:val="100"/>
          <w:marBottom w:val="0"/>
          <w:divBdr>
            <w:top w:val="none" w:sz="0" w:space="0" w:color="auto"/>
            <w:left w:val="none" w:sz="0" w:space="0" w:color="auto"/>
            <w:bottom w:val="none" w:sz="0" w:space="0" w:color="auto"/>
            <w:right w:val="none" w:sz="0" w:space="0" w:color="auto"/>
          </w:divBdr>
        </w:div>
        <w:div w:id="225342672">
          <w:marLeft w:val="1080"/>
          <w:marRight w:val="0"/>
          <w:marTop w:val="100"/>
          <w:marBottom w:val="0"/>
          <w:divBdr>
            <w:top w:val="none" w:sz="0" w:space="0" w:color="auto"/>
            <w:left w:val="none" w:sz="0" w:space="0" w:color="auto"/>
            <w:bottom w:val="none" w:sz="0" w:space="0" w:color="auto"/>
            <w:right w:val="none" w:sz="0" w:space="0" w:color="auto"/>
          </w:divBdr>
        </w:div>
        <w:div w:id="469447682">
          <w:marLeft w:val="1080"/>
          <w:marRight w:val="0"/>
          <w:marTop w:val="100"/>
          <w:marBottom w:val="0"/>
          <w:divBdr>
            <w:top w:val="none" w:sz="0" w:space="0" w:color="auto"/>
            <w:left w:val="none" w:sz="0" w:space="0" w:color="auto"/>
            <w:bottom w:val="none" w:sz="0" w:space="0" w:color="auto"/>
            <w:right w:val="none" w:sz="0" w:space="0" w:color="auto"/>
          </w:divBdr>
        </w:div>
        <w:div w:id="537083892">
          <w:marLeft w:val="1080"/>
          <w:marRight w:val="0"/>
          <w:marTop w:val="100"/>
          <w:marBottom w:val="0"/>
          <w:divBdr>
            <w:top w:val="none" w:sz="0" w:space="0" w:color="auto"/>
            <w:left w:val="none" w:sz="0" w:space="0" w:color="auto"/>
            <w:bottom w:val="none" w:sz="0" w:space="0" w:color="auto"/>
            <w:right w:val="none" w:sz="0" w:space="0" w:color="auto"/>
          </w:divBdr>
        </w:div>
        <w:div w:id="797187104">
          <w:marLeft w:val="1080"/>
          <w:marRight w:val="0"/>
          <w:marTop w:val="100"/>
          <w:marBottom w:val="0"/>
          <w:divBdr>
            <w:top w:val="none" w:sz="0" w:space="0" w:color="auto"/>
            <w:left w:val="none" w:sz="0" w:space="0" w:color="auto"/>
            <w:bottom w:val="none" w:sz="0" w:space="0" w:color="auto"/>
            <w:right w:val="none" w:sz="0" w:space="0" w:color="auto"/>
          </w:divBdr>
        </w:div>
        <w:div w:id="1020425577">
          <w:marLeft w:val="1080"/>
          <w:marRight w:val="0"/>
          <w:marTop w:val="100"/>
          <w:marBottom w:val="0"/>
          <w:divBdr>
            <w:top w:val="none" w:sz="0" w:space="0" w:color="auto"/>
            <w:left w:val="none" w:sz="0" w:space="0" w:color="auto"/>
            <w:bottom w:val="none" w:sz="0" w:space="0" w:color="auto"/>
            <w:right w:val="none" w:sz="0" w:space="0" w:color="auto"/>
          </w:divBdr>
        </w:div>
        <w:div w:id="1272317261">
          <w:marLeft w:val="1080"/>
          <w:marRight w:val="0"/>
          <w:marTop w:val="100"/>
          <w:marBottom w:val="0"/>
          <w:divBdr>
            <w:top w:val="none" w:sz="0" w:space="0" w:color="auto"/>
            <w:left w:val="none" w:sz="0" w:space="0" w:color="auto"/>
            <w:bottom w:val="none" w:sz="0" w:space="0" w:color="auto"/>
            <w:right w:val="none" w:sz="0" w:space="0" w:color="auto"/>
          </w:divBdr>
        </w:div>
        <w:div w:id="199429071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3E04D4-809A-4300-9D49-08AF09AD5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7506</Words>
  <Characters>39786</Characters>
  <Application>Microsoft Office Word</Application>
  <DocSecurity>0</DocSecurity>
  <Lines>331</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47198</CharactersWithSpaces>
  <SharedDoc>false</SharedDoc>
  <HLinks>
    <vt:vector size="198" baseType="variant">
      <vt:variant>
        <vt:i4>1703991</vt:i4>
      </vt:variant>
      <vt:variant>
        <vt:i4>140</vt:i4>
      </vt:variant>
      <vt:variant>
        <vt:i4>0</vt:i4>
      </vt:variant>
      <vt:variant>
        <vt:i4>5</vt:i4>
      </vt:variant>
      <vt:variant>
        <vt:lpwstr/>
      </vt:variant>
      <vt:variant>
        <vt:lpwstr>_Toc77330831</vt:lpwstr>
      </vt:variant>
      <vt:variant>
        <vt:i4>1769527</vt:i4>
      </vt:variant>
      <vt:variant>
        <vt:i4>137</vt:i4>
      </vt:variant>
      <vt:variant>
        <vt:i4>0</vt:i4>
      </vt:variant>
      <vt:variant>
        <vt:i4>5</vt:i4>
      </vt:variant>
      <vt:variant>
        <vt:lpwstr/>
      </vt:variant>
      <vt:variant>
        <vt:lpwstr>_Toc77330830</vt:lpwstr>
      </vt:variant>
      <vt:variant>
        <vt:i4>1179702</vt:i4>
      </vt:variant>
      <vt:variant>
        <vt:i4>134</vt:i4>
      </vt:variant>
      <vt:variant>
        <vt:i4>0</vt:i4>
      </vt:variant>
      <vt:variant>
        <vt:i4>5</vt:i4>
      </vt:variant>
      <vt:variant>
        <vt:lpwstr/>
      </vt:variant>
      <vt:variant>
        <vt:lpwstr>_Toc77330829</vt:lpwstr>
      </vt:variant>
      <vt:variant>
        <vt:i4>1245238</vt:i4>
      </vt:variant>
      <vt:variant>
        <vt:i4>131</vt:i4>
      </vt:variant>
      <vt:variant>
        <vt:i4>0</vt:i4>
      </vt:variant>
      <vt:variant>
        <vt:i4>5</vt:i4>
      </vt:variant>
      <vt:variant>
        <vt:lpwstr/>
      </vt:variant>
      <vt:variant>
        <vt:lpwstr>_Toc77330828</vt:lpwstr>
      </vt:variant>
      <vt:variant>
        <vt:i4>1966134</vt:i4>
      </vt:variant>
      <vt:variant>
        <vt:i4>128</vt:i4>
      </vt:variant>
      <vt:variant>
        <vt:i4>0</vt:i4>
      </vt:variant>
      <vt:variant>
        <vt:i4>5</vt:i4>
      </vt:variant>
      <vt:variant>
        <vt:lpwstr/>
      </vt:variant>
      <vt:variant>
        <vt:lpwstr>_Toc77330825</vt:lpwstr>
      </vt:variant>
      <vt:variant>
        <vt:i4>2031670</vt:i4>
      </vt:variant>
      <vt:variant>
        <vt:i4>125</vt:i4>
      </vt:variant>
      <vt:variant>
        <vt:i4>0</vt:i4>
      </vt:variant>
      <vt:variant>
        <vt:i4>5</vt:i4>
      </vt:variant>
      <vt:variant>
        <vt:lpwstr/>
      </vt:variant>
      <vt:variant>
        <vt:lpwstr>_Toc77330824</vt:lpwstr>
      </vt:variant>
      <vt:variant>
        <vt:i4>1572918</vt:i4>
      </vt:variant>
      <vt:variant>
        <vt:i4>122</vt:i4>
      </vt:variant>
      <vt:variant>
        <vt:i4>0</vt:i4>
      </vt:variant>
      <vt:variant>
        <vt:i4>5</vt:i4>
      </vt:variant>
      <vt:variant>
        <vt:lpwstr/>
      </vt:variant>
      <vt:variant>
        <vt:lpwstr>_Toc77330823</vt:lpwstr>
      </vt:variant>
      <vt:variant>
        <vt:i4>1638454</vt:i4>
      </vt:variant>
      <vt:variant>
        <vt:i4>119</vt:i4>
      </vt:variant>
      <vt:variant>
        <vt:i4>0</vt:i4>
      </vt:variant>
      <vt:variant>
        <vt:i4>5</vt:i4>
      </vt:variant>
      <vt:variant>
        <vt:lpwstr/>
      </vt:variant>
      <vt:variant>
        <vt:lpwstr>_Toc77330822</vt:lpwstr>
      </vt:variant>
      <vt:variant>
        <vt:i4>1703990</vt:i4>
      </vt:variant>
      <vt:variant>
        <vt:i4>116</vt:i4>
      </vt:variant>
      <vt:variant>
        <vt:i4>0</vt:i4>
      </vt:variant>
      <vt:variant>
        <vt:i4>5</vt:i4>
      </vt:variant>
      <vt:variant>
        <vt:lpwstr/>
      </vt:variant>
      <vt:variant>
        <vt:lpwstr>_Toc77330821</vt:lpwstr>
      </vt:variant>
      <vt:variant>
        <vt:i4>1769526</vt:i4>
      </vt:variant>
      <vt:variant>
        <vt:i4>113</vt:i4>
      </vt:variant>
      <vt:variant>
        <vt:i4>0</vt:i4>
      </vt:variant>
      <vt:variant>
        <vt:i4>5</vt:i4>
      </vt:variant>
      <vt:variant>
        <vt:lpwstr/>
      </vt:variant>
      <vt:variant>
        <vt:lpwstr>_Toc77330820</vt:lpwstr>
      </vt:variant>
      <vt:variant>
        <vt:i4>1179701</vt:i4>
      </vt:variant>
      <vt:variant>
        <vt:i4>110</vt:i4>
      </vt:variant>
      <vt:variant>
        <vt:i4>0</vt:i4>
      </vt:variant>
      <vt:variant>
        <vt:i4>5</vt:i4>
      </vt:variant>
      <vt:variant>
        <vt:lpwstr/>
      </vt:variant>
      <vt:variant>
        <vt:lpwstr>_Toc77330819</vt:lpwstr>
      </vt:variant>
      <vt:variant>
        <vt:i4>1245237</vt:i4>
      </vt:variant>
      <vt:variant>
        <vt:i4>107</vt:i4>
      </vt:variant>
      <vt:variant>
        <vt:i4>0</vt:i4>
      </vt:variant>
      <vt:variant>
        <vt:i4>5</vt:i4>
      </vt:variant>
      <vt:variant>
        <vt:lpwstr/>
      </vt:variant>
      <vt:variant>
        <vt:lpwstr>_Toc77330818</vt:lpwstr>
      </vt:variant>
      <vt:variant>
        <vt:i4>1835061</vt:i4>
      </vt:variant>
      <vt:variant>
        <vt:i4>104</vt:i4>
      </vt:variant>
      <vt:variant>
        <vt:i4>0</vt:i4>
      </vt:variant>
      <vt:variant>
        <vt:i4>5</vt:i4>
      </vt:variant>
      <vt:variant>
        <vt:lpwstr/>
      </vt:variant>
      <vt:variant>
        <vt:lpwstr>_Toc77330817</vt:lpwstr>
      </vt:variant>
      <vt:variant>
        <vt:i4>1900597</vt:i4>
      </vt:variant>
      <vt:variant>
        <vt:i4>101</vt:i4>
      </vt:variant>
      <vt:variant>
        <vt:i4>0</vt:i4>
      </vt:variant>
      <vt:variant>
        <vt:i4>5</vt:i4>
      </vt:variant>
      <vt:variant>
        <vt:lpwstr/>
      </vt:variant>
      <vt:variant>
        <vt:lpwstr>_Toc77330816</vt:lpwstr>
      </vt:variant>
      <vt:variant>
        <vt:i4>1966133</vt:i4>
      </vt:variant>
      <vt:variant>
        <vt:i4>98</vt:i4>
      </vt:variant>
      <vt:variant>
        <vt:i4>0</vt:i4>
      </vt:variant>
      <vt:variant>
        <vt:i4>5</vt:i4>
      </vt:variant>
      <vt:variant>
        <vt:lpwstr/>
      </vt:variant>
      <vt:variant>
        <vt:lpwstr>_Toc77330815</vt:lpwstr>
      </vt:variant>
      <vt:variant>
        <vt:i4>2031669</vt:i4>
      </vt:variant>
      <vt:variant>
        <vt:i4>95</vt:i4>
      </vt:variant>
      <vt:variant>
        <vt:i4>0</vt:i4>
      </vt:variant>
      <vt:variant>
        <vt:i4>5</vt:i4>
      </vt:variant>
      <vt:variant>
        <vt:lpwstr/>
      </vt:variant>
      <vt:variant>
        <vt:lpwstr>_Toc77330814</vt:lpwstr>
      </vt:variant>
      <vt:variant>
        <vt:i4>1572917</vt:i4>
      </vt:variant>
      <vt:variant>
        <vt:i4>92</vt:i4>
      </vt:variant>
      <vt:variant>
        <vt:i4>0</vt:i4>
      </vt:variant>
      <vt:variant>
        <vt:i4>5</vt:i4>
      </vt:variant>
      <vt:variant>
        <vt:lpwstr/>
      </vt:variant>
      <vt:variant>
        <vt:lpwstr>_Toc77330813</vt:lpwstr>
      </vt:variant>
      <vt:variant>
        <vt:i4>1638453</vt:i4>
      </vt:variant>
      <vt:variant>
        <vt:i4>89</vt:i4>
      </vt:variant>
      <vt:variant>
        <vt:i4>0</vt:i4>
      </vt:variant>
      <vt:variant>
        <vt:i4>5</vt:i4>
      </vt:variant>
      <vt:variant>
        <vt:lpwstr/>
      </vt:variant>
      <vt:variant>
        <vt:lpwstr>_Toc77330812</vt:lpwstr>
      </vt:variant>
      <vt:variant>
        <vt:i4>1703989</vt:i4>
      </vt:variant>
      <vt:variant>
        <vt:i4>86</vt:i4>
      </vt:variant>
      <vt:variant>
        <vt:i4>0</vt:i4>
      </vt:variant>
      <vt:variant>
        <vt:i4>5</vt:i4>
      </vt:variant>
      <vt:variant>
        <vt:lpwstr/>
      </vt:variant>
      <vt:variant>
        <vt:lpwstr>_Toc77330811</vt:lpwstr>
      </vt:variant>
      <vt:variant>
        <vt:i4>1769525</vt:i4>
      </vt:variant>
      <vt:variant>
        <vt:i4>83</vt:i4>
      </vt:variant>
      <vt:variant>
        <vt:i4>0</vt:i4>
      </vt:variant>
      <vt:variant>
        <vt:i4>5</vt:i4>
      </vt:variant>
      <vt:variant>
        <vt:lpwstr/>
      </vt:variant>
      <vt:variant>
        <vt:lpwstr>_Toc77330810</vt:lpwstr>
      </vt:variant>
      <vt:variant>
        <vt:i4>1179700</vt:i4>
      </vt:variant>
      <vt:variant>
        <vt:i4>80</vt:i4>
      </vt:variant>
      <vt:variant>
        <vt:i4>0</vt:i4>
      </vt:variant>
      <vt:variant>
        <vt:i4>5</vt:i4>
      </vt:variant>
      <vt:variant>
        <vt:lpwstr/>
      </vt:variant>
      <vt:variant>
        <vt:lpwstr>_Toc77330809</vt:lpwstr>
      </vt:variant>
      <vt:variant>
        <vt:i4>1245236</vt:i4>
      </vt:variant>
      <vt:variant>
        <vt:i4>77</vt:i4>
      </vt:variant>
      <vt:variant>
        <vt:i4>0</vt:i4>
      </vt:variant>
      <vt:variant>
        <vt:i4>5</vt:i4>
      </vt:variant>
      <vt:variant>
        <vt:lpwstr/>
      </vt:variant>
      <vt:variant>
        <vt:lpwstr>_Toc77330808</vt:lpwstr>
      </vt:variant>
      <vt:variant>
        <vt:i4>1835060</vt:i4>
      </vt:variant>
      <vt:variant>
        <vt:i4>71</vt:i4>
      </vt:variant>
      <vt:variant>
        <vt:i4>0</vt:i4>
      </vt:variant>
      <vt:variant>
        <vt:i4>5</vt:i4>
      </vt:variant>
      <vt:variant>
        <vt:lpwstr/>
      </vt:variant>
      <vt:variant>
        <vt:lpwstr>_Toc77330807</vt:lpwstr>
      </vt:variant>
      <vt:variant>
        <vt:i4>1900596</vt:i4>
      </vt:variant>
      <vt:variant>
        <vt:i4>68</vt:i4>
      </vt:variant>
      <vt:variant>
        <vt:i4>0</vt:i4>
      </vt:variant>
      <vt:variant>
        <vt:i4>5</vt:i4>
      </vt:variant>
      <vt:variant>
        <vt:lpwstr/>
      </vt:variant>
      <vt:variant>
        <vt:lpwstr>_Toc77330806</vt:lpwstr>
      </vt:variant>
      <vt:variant>
        <vt:i4>1966132</vt:i4>
      </vt:variant>
      <vt:variant>
        <vt:i4>65</vt:i4>
      </vt:variant>
      <vt:variant>
        <vt:i4>0</vt:i4>
      </vt:variant>
      <vt:variant>
        <vt:i4>5</vt:i4>
      </vt:variant>
      <vt:variant>
        <vt:lpwstr/>
      </vt:variant>
      <vt:variant>
        <vt:lpwstr>_Toc77330805</vt:lpwstr>
      </vt:variant>
      <vt:variant>
        <vt:i4>2031668</vt:i4>
      </vt:variant>
      <vt:variant>
        <vt:i4>62</vt:i4>
      </vt:variant>
      <vt:variant>
        <vt:i4>0</vt:i4>
      </vt:variant>
      <vt:variant>
        <vt:i4>5</vt:i4>
      </vt:variant>
      <vt:variant>
        <vt:lpwstr/>
      </vt:variant>
      <vt:variant>
        <vt:lpwstr>_Toc77330804</vt:lpwstr>
      </vt:variant>
      <vt:variant>
        <vt:i4>1572916</vt:i4>
      </vt:variant>
      <vt:variant>
        <vt:i4>59</vt:i4>
      </vt:variant>
      <vt:variant>
        <vt:i4>0</vt:i4>
      </vt:variant>
      <vt:variant>
        <vt:i4>5</vt:i4>
      </vt:variant>
      <vt:variant>
        <vt:lpwstr/>
      </vt:variant>
      <vt:variant>
        <vt:lpwstr>_Toc77330803</vt:lpwstr>
      </vt:variant>
      <vt:variant>
        <vt:i4>1638452</vt:i4>
      </vt:variant>
      <vt:variant>
        <vt:i4>56</vt:i4>
      </vt:variant>
      <vt:variant>
        <vt:i4>0</vt:i4>
      </vt:variant>
      <vt:variant>
        <vt:i4>5</vt:i4>
      </vt:variant>
      <vt:variant>
        <vt:lpwstr/>
      </vt:variant>
      <vt:variant>
        <vt:lpwstr>_Toc77330802</vt:lpwstr>
      </vt:variant>
      <vt:variant>
        <vt:i4>1703988</vt:i4>
      </vt:variant>
      <vt:variant>
        <vt:i4>53</vt:i4>
      </vt:variant>
      <vt:variant>
        <vt:i4>0</vt:i4>
      </vt:variant>
      <vt:variant>
        <vt:i4>5</vt:i4>
      </vt:variant>
      <vt:variant>
        <vt:lpwstr/>
      </vt:variant>
      <vt:variant>
        <vt:lpwstr>_Toc77330801</vt:lpwstr>
      </vt:variant>
      <vt:variant>
        <vt:i4>1769524</vt:i4>
      </vt:variant>
      <vt:variant>
        <vt:i4>50</vt:i4>
      </vt:variant>
      <vt:variant>
        <vt:i4>0</vt:i4>
      </vt:variant>
      <vt:variant>
        <vt:i4>5</vt:i4>
      </vt:variant>
      <vt:variant>
        <vt:lpwstr/>
      </vt:variant>
      <vt:variant>
        <vt:lpwstr>_Toc77330800</vt:lpwstr>
      </vt:variant>
      <vt:variant>
        <vt:i4>1900605</vt:i4>
      </vt:variant>
      <vt:variant>
        <vt:i4>47</vt:i4>
      </vt:variant>
      <vt:variant>
        <vt:i4>0</vt:i4>
      </vt:variant>
      <vt:variant>
        <vt:i4>5</vt:i4>
      </vt:variant>
      <vt:variant>
        <vt:lpwstr/>
      </vt:variant>
      <vt:variant>
        <vt:lpwstr>_Toc77330799</vt:lpwstr>
      </vt:variant>
      <vt:variant>
        <vt:i4>1835069</vt:i4>
      </vt:variant>
      <vt:variant>
        <vt:i4>44</vt:i4>
      </vt:variant>
      <vt:variant>
        <vt:i4>0</vt:i4>
      </vt:variant>
      <vt:variant>
        <vt:i4>5</vt:i4>
      </vt:variant>
      <vt:variant>
        <vt:lpwstr/>
      </vt:variant>
      <vt:variant>
        <vt:lpwstr>_Toc77330798</vt:lpwstr>
      </vt:variant>
      <vt:variant>
        <vt:i4>1245245</vt:i4>
      </vt:variant>
      <vt:variant>
        <vt:i4>41</vt:i4>
      </vt:variant>
      <vt:variant>
        <vt:i4>0</vt:i4>
      </vt:variant>
      <vt:variant>
        <vt:i4>5</vt:i4>
      </vt:variant>
      <vt:variant>
        <vt:lpwstr/>
      </vt:variant>
      <vt:variant>
        <vt:lpwstr>_Toc77330797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2021-08-06T20:08:00Z</dcterms:created>
  <dcterms:modified xsi:type="dcterms:W3CDTF">2021-08-06T20:09:00Z</dcterms:modified>
  <cp:category/>
</cp:coreProperties>
</file>